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2C7276" w14:textId="1EC1EB83" w:rsidR="00841BCD" w:rsidRPr="008B136E"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B136E">
        <w:rPr>
          <w:rFonts w:ascii="Arial" w:eastAsia="SimSun" w:hAnsi="Arial" w:cs="Times New Roman"/>
          <w:b/>
          <w:bCs/>
          <w:sz w:val="24"/>
          <w:szCs w:val="20"/>
        </w:rPr>
        <w:t>3GPP T</w:t>
      </w:r>
      <w:bookmarkStart w:id="2" w:name="_Ref452454252"/>
      <w:bookmarkEnd w:id="2"/>
      <w:r w:rsidRPr="008B136E">
        <w:rPr>
          <w:rFonts w:ascii="Arial" w:eastAsia="SimSun" w:hAnsi="Arial" w:cs="Times New Roman"/>
          <w:b/>
          <w:bCs/>
          <w:sz w:val="24"/>
          <w:szCs w:val="20"/>
        </w:rPr>
        <w:t xml:space="preserve">SG-RAN </w:t>
      </w:r>
      <w:r w:rsidR="00ED7600" w:rsidRPr="008B136E">
        <w:rPr>
          <w:rFonts w:ascii="Arial" w:eastAsia="SimSun" w:hAnsi="Arial" w:cs="Times New Roman"/>
          <w:b/>
          <w:sz w:val="24"/>
          <w:szCs w:val="20"/>
        </w:rPr>
        <w:t>WG4 Meeting #</w:t>
      </w:r>
      <w:r w:rsidR="00DE7064" w:rsidRPr="008B136E">
        <w:rPr>
          <w:rFonts w:ascii="Arial" w:eastAsia="SimSun" w:hAnsi="Arial" w:cs="Times New Roman"/>
          <w:b/>
          <w:sz w:val="24"/>
          <w:szCs w:val="20"/>
        </w:rPr>
        <w:t>1</w:t>
      </w:r>
      <w:r w:rsidR="00381F95" w:rsidRPr="008B136E">
        <w:rPr>
          <w:rFonts w:ascii="Arial" w:eastAsia="SimSun" w:hAnsi="Arial" w:cs="Times New Roman"/>
          <w:b/>
          <w:sz w:val="24"/>
          <w:szCs w:val="20"/>
        </w:rPr>
        <w:t>1</w:t>
      </w:r>
      <w:r w:rsidR="001D0F13">
        <w:rPr>
          <w:rFonts w:ascii="Arial" w:eastAsia="SimSun" w:hAnsi="Arial" w:cs="Times New Roman"/>
          <w:b/>
          <w:sz w:val="24"/>
          <w:szCs w:val="20"/>
        </w:rPr>
        <w:t>6</w:t>
      </w:r>
      <w:r w:rsidR="003B0849">
        <w:rPr>
          <w:rFonts w:ascii="Arial" w:eastAsia="SimSun" w:hAnsi="Arial" w:cs="Times New Roman"/>
          <w:b/>
          <w:sz w:val="24"/>
          <w:szCs w:val="20"/>
        </w:rPr>
        <w:t>bis</w:t>
      </w:r>
      <w:r w:rsidRPr="008B136E">
        <w:rPr>
          <w:rFonts w:ascii="Arial" w:eastAsia="SimSun" w:hAnsi="Arial" w:cs="Times New Roman"/>
          <w:b/>
          <w:bCs/>
          <w:sz w:val="24"/>
          <w:szCs w:val="20"/>
        </w:rPr>
        <w:tab/>
      </w:r>
      <w:r w:rsidR="00666A5B" w:rsidRPr="00666A5B">
        <w:rPr>
          <w:rFonts w:ascii="Arial" w:eastAsia="SimSun" w:hAnsi="Arial" w:cs="Times New Roman"/>
          <w:b/>
          <w:bCs/>
          <w:sz w:val="24"/>
          <w:szCs w:val="20"/>
          <w:lang w:eastAsia="ja-JP"/>
        </w:rPr>
        <w:t>R4-2514257</w:t>
      </w:r>
    </w:p>
    <w:bookmarkEnd w:id="0"/>
    <w:bookmarkEnd w:id="1"/>
    <w:p w14:paraId="043000CC" w14:textId="09D1B9D3" w:rsidR="00B26A8A" w:rsidRPr="008B136E" w:rsidRDefault="009C061C"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 xml:space="preserve">Prague, </w:t>
      </w:r>
      <w:r w:rsidR="00C532CE" w:rsidRPr="00C532CE">
        <w:rPr>
          <w:rFonts w:ascii="Arial" w:eastAsia="SimSun" w:hAnsi="Arial" w:cs="Times New Roman"/>
          <w:b/>
          <w:sz w:val="24"/>
          <w:szCs w:val="20"/>
        </w:rPr>
        <w:t>Czech Republic</w:t>
      </w:r>
      <w:r w:rsidR="00B26A8A" w:rsidRPr="008B136E">
        <w:rPr>
          <w:rFonts w:ascii="Arial" w:eastAsia="SimSun" w:hAnsi="Arial" w:cs="Times New Roman"/>
          <w:b/>
          <w:sz w:val="24"/>
          <w:szCs w:val="20"/>
        </w:rPr>
        <w:t xml:space="preserve">, </w:t>
      </w:r>
      <w:r>
        <w:rPr>
          <w:rFonts w:ascii="Arial" w:eastAsia="SimSun" w:hAnsi="Arial" w:cs="Times New Roman"/>
          <w:b/>
          <w:sz w:val="24"/>
          <w:szCs w:val="20"/>
        </w:rPr>
        <w:t>13-17</w:t>
      </w:r>
      <w:r w:rsidR="009A7297">
        <w:rPr>
          <w:rFonts w:ascii="Arial" w:eastAsia="SimSun" w:hAnsi="Arial" w:cs="Times New Roman"/>
          <w:b/>
          <w:sz w:val="24"/>
          <w:szCs w:val="20"/>
        </w:rPr>
        <w:t xml:space="preserve"> </w:t>
      </w:r>
      <w:r>
        <w:rPr>
          <w:rFonts w:ascii="Arial" w:eastAsia="SimSun" w:hAnsi="Arial" w:cs="Times New Roman"/>
          <w:b/>
          <w:sz w:val="24"/>
          <w:szCs w:val="20"/>
        </w:rPr>
        <w:t>October</w:t>
      </w:r>
      <w:r w:rsidR="00B26A8A" w:rsidRPr="008B136E">
        <w:rPr>
          <w:rFonts w:ascii="Arial" w:eastAsia="SimSun" w:hAnsi="Arial" w:cs="Times New Roman"/>
          <w:b/>
          <w:sz w:val="24"/>
          <w:szCs w:val="20"/>
        </w:rPr>
        <w:t>, 2025</w:t>
      </w:r>
    </w:p>
    <w:p w14:paraId="409B431D" w14:textId="77777777" w:rsidR="00841BCD" w:rsidRPr="008B136E"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1F6A816F" w14:textId="77777777" w:rsidR="00841BCD" w:rsidRPr="00F37AD4" w:rsidRDefault="00841BCD" w:rsidP="00841BCD">
      <w:pPr>
        <w:tabs>
          <w:tab w:val="left" w:pos="1985"/>
        </w:tabs>
        <w:ind w:left="1985" w:hanging="1985"/>
        <w:rPr>
          <w:rFonts w:ascii="Arial" w:eastAsia="Calibri" w:hAnsi="Arial" w:cs="Arial"/>
          <w:b/>
          <w:bCs/>
          <w:sz w:val="24"/>
        </w:rPr>
      </w:pPr>
      <w:r w:rsidRPr="00F37AD4">
        <w:rPr>
          <w:rFonts w:ascii="Arial" w:eastAsia="Calibri" w:hAnsi="Arial" w:cs="Arial"/>
          <w:b/>
          <w:bCs/>
          <w:sz w:val="24"/>
        </w:rPr>
        <w:t>Source:</w:t>
      </w:r>
      <w:r w:rsidRPr="00F37AD4">
        <w:rPr>
          <w:rFonts w:ascii="Arial" w:eastAsia="Calibri" w:hAnsi="Arial" w:cs="Arial"/>
          <w:b/>
          <w:bCs/>
          <w:sz w:val="24"/>
        </w:rPr>
        <w:tab/>
        <w:t>Nokia</w:t>
      </w:r>
    </w:p>
    <w:p w14:paraId="53F44741" w14:textId="72310A66" w:rsidR="00841BCD" w:rsidRPr="00F37AD4" w:rsidRDefault="00841BCD" w:rsidP="00841BCD">
      <w:pPr>
        <w:ind w:left="1985" w:hanging="1985"/>
        <w:rPr>
          <w:rFonts w:ascii="Arial" w:eastAsia="Calibri" w:hAnsi="Arial" w:cs="Arial"/>
          <w:b/>
          <w:bCs/>
          <w:sz w:val="24"/>
        </w:rPr>
      </w:pPr>
      <w:r w:rsidRPr="00F37AD4">
        <w:rPr>
          <w:rFonts w:ascii="Arial" w:eastAsia="Calibri" w:hAnsi="Arial" w:cs="Arial"/>
          <w:b/>
          <w:sz w:val="24"/>
        </w:rPr>
        <w:t>Title:</w:t>
      </w:r>
      <w:r w:rsidRPr="00F37AD4">
        <w:rPr>
          <w:rFonts w:ascii="Arial" w:eastAsia="Calibri" w:hAnsi="Arial" w:cs="Arial"/>
          <w:b/>
          <w:sz w:val="24"/>
        </w:rPr>
        <w:tab/>
      </w:r>
      <w:r w:rsidR="00B516DC" w:rsidRPr="00F37AD4">
        <w:rPr>
          <w:rFonts w:ascii="Arial" w:eastAsia="Calibri" w:hAnsi="Arial" w:cs="Arial"/>
          <w:b/>
          <w:sz w:val="24"/>
        </w:rPr>
        <w:t xml:space="preserve">On remaining </w:t>
      </w:r>
      <w:r w:rsidR="00531501" w:rsidRPr="00F37AD4">
        <w:rPr>
          <w:rFonts w:ascii="Arial" w:eastAsia="Calibri" w:hAnsi="Arial" w:cs="Arial"/>
          <w:b/>
          <w:sz w:val="24"/>
        </w:rPr>
        <w:t>core</w:t>
      </w:r>
      <w:r w:rsidR="00B516DC" w:rsidRPr="00F37AD4">
        <w:rPr>
          <w:rFonts w:ascii="Arial" w:eastAsia="Calibri" w:hAnsi="Arial" w:cs="Arial"/>
          <w:b/>
          <w:sz w:val="24"/>
        </w:rPr>
        <w:t xml:space="preserve"> requirements</w:t>
      </w:r>
      <w:r w:rsidR="00531501" w:rsidRPr="00F37AD4">
        <w:rPr>
          <w:rFonts w:ascii="Arial" w:eastAsia="Calibri" w:hAnsi="Arial" w:cs="Arial"/>
          <w:b/>
          <w:sz w:val="24"/>
        </w:rPr>
        <w:t xml:space="preserve"> for RRM Phase 5</w:t>
      </w:r>
    </w:p>
    <w:p w14:paraId="5D5E70D6" w14:textId="127C3947" w:rsidR="00841BCD" w:rsidRPr="008F786B" w:rsidRDefault="00841BCD" w:rsidP="00841BCD">
      <w:pPr>
        <w:tabs>
          <w:tab w:val="left" w:pos="1985"/>
        </w:tabs>
        <w:spacing w:after="120" w:line="240" w:lineRule="auto"/>
        <w:rPr>
          <w:rFonts w:ascii="Arial" w:eastAsia="MS Mincho" w:hAnsi="Arial" w:cs="Arial"/>
          <w:b/>
          <w:bCs/>
          <w:sz w:val="24"/>
          <w:szCs w:val="20"/>
        </w:rPr>
      </w:pPr>
      <w:r w:rsidRPr="00F37AD4">
        <w:rPr>
          <w:rFonts w:ascii="Arial" w:eastAsia="MS Mincho" w:hAnsi="Arial" w:cs="Arial"/>
          <w:b/>
          <w:bCs/>
          <w:sz w:val="24"/>
          <w:szCs w:val="20"/>
        </w:rPr>
        <w:t>Agenda item:</w:t>
      </w:r>
      <w:r w:rsidRPr="00F37AD4">
        <w:rPr>
          <w:rFonts w:ascii="Arial" w:eastAsia="MS Mincho" w:hAnsi="Arial" w:cs="Arial"/>
          <w:b/>
          <w:bCs/>
          <w:sz w:val="24"/>
          <w:szCs w:val="20"/>
        </w:rPr>
        <w:tab/>
      </w:r>
      <w:r w:rsidR="001B037D" w:rsidRPr="00F37AD4">
        <w:rPr>
          <w:rFonts w:ascii="Arial" w:eastAsia="MS Mincho" w:hAnsi="Arial" w:cs="Arial"/>
          <w:b/>
          <w:bCs/>
          <w:sz w:val="24"/>
          <w:szCs w:val="20"/>
        </w:rPr>
        <w:t>4.15.1</w:t>
      </w:r>
    </w:p>
    <w:p w14:paraId="0B1BB4FC" w14:textId="77777777" w:rsidR="00E323E9"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AE6D09" w:rsidRPr="008F786B">
        <w:rPr>
          <w:rFonts w:ascii="Arial" w:eastAsia="Calibri" w:hAnsi="Arial" w:cs="Arial"/>
          <w:b/>
          <w:bCs/>
          <w:sz w:val="24"/>
        </w:rPr>
        <w:t>Discussion</w:t>
      </w:r>
    </w:p>
    <w:p w14:paraId="40FAE8F6" w14:textId="77777777"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14E34133" w14:textId="54DC0B9F" w:rsidR="00C838F3" w:rsidRPr="008F786B" w:rsidRDefault="00C260B7" w:rsidP="005C23A4">
      <w:r>
        <w:t>In this contribution we discuss the remaining open issues related to L3 beam sweeping factor reduction.</w:t>
      </w:r>
    </w:p>
    <w:p w14:paraId="73928127" w14:textId="290E0D5F" w:rsidR="00D60E48" w:rsidRDefault="004F5F61" w:rsidP="003B0849">
      <w:pPr>
        <w:pStyle w:val="RAN4H1"/>
      </w:pPr>
      <w:r>
        <w:t>Discussion</w:t>
      </w:r>
    </w:p>
    <w:p w14:paraId="489035F0" w14:textId="620689F3" w:rsidR="00187BF7" w:rsidRPr="00187BF7" w:rsidRDefault="00187BF7" w:rsidP="00336E43">
      <w:pPr>
        <w:pStyle w:val="RAN4H2"/>
      </w:pPr>
      <w:r w:rsidRPr="00187BF7">
        <w:t xml:space="preserve">Fast </w:t>
      </w:r>
      <w:r>
        <w:t>beam sweeping</w:t>
      </w:r>
    </w:p>
    <w:p w14:paraId="434D359D" w14:textId="7AEFC2D6" w:rsidR="004F5F61" w:rsidRDefault="004F5F61" w:rsidP="004F5F61">
      <w:r>
        <w:t xml:space="preserve">RAN4 concluded the core part of the RRM Ph5 work item in the last meeting. Regarding fast L3 beam sweeping, RAN4 agreed that the UE is required to </w:t>
      </w:r>
      <w:r w:rsidR="0051572F">
        <w:t>perform FBS for L3 measurements for a duration of a timer of 90 s after the configured condition for FBS becomes met.</w:t>
      </w:r>
    </w:p>
    <w:p w14:paraId="73448100" w14:textId="73B00B0C" w:rsidR="0051572F" w:rsidRDefault="0051572F" w:rsidP="004F5F61">
      <w:r>
        <w:t>What remained open was whether there is a need for a re-entry condition</w:t>
      </w:r>
      <w:r w:rsidR="00AE5ED1">
        <w:t xml:space="preserve"> after the timer has expired.</w:t>
      </w:r>
    </w:p>
    <w:tbl>
      <w:tblPr>
        <w:tblStyle w:val="TableGrid"/>
        <w:tblW w:w="0" w:type="auto"/>
        <w:tblLook w:val="04A0" w:firstRow="1" w:lastRow="0" w:firstColumn="1" w:lastColumn="0" w:noHBand="0" w:noVBand="1"/>
      </w:tblPr>
      <w:tblGrid>
        <w:gridCol w:w="9617"/>
      </w:tblGrid>
      <w:tr w:rsidR="001B5045" w14:paraId="2A3A643E" w14:textId="77777777">
        <w:tc>
          <w:tcPr>
            <w:tcW w:w="9617" w:type="dxa"/>
          </w:tcPr>
          <w:p w14:paraId="723D0610" w14:textId="77777777" w:rsidR="001B5045" w:rsidRPr="001B5045" w:rsidRDefault="001B5045" w:rsidP="001B5045">
            <w:pPr>
              <w:rPr>
                <w:lang w:val="en-US"/>
              </w:rPr>
            </w:pPr>
            <w:r w:rsidRPr="001B5045">
              <w:rPr>
                <w:u w:val="single"/>
                <w:lang w:val="en-US"/>
              </w:rPr>
              <w:t>Issue 1-1-2: Re-evaluation mechanism</w:t>
            </w:r>
          </w:p>
          <w:p w14:paraId="2A1E7B24" w14:textId="77777777" w:rsidR="001B5045" w:rsidRPr="001B5045" w:rsidRDefault="001B5045" w:rsidP="001B5045">
            <w:r w:rsidRPr="001B5045">
              <w:t>Agreement:</w:t>
            </w:r>
          </w:p>
          <w:p w14:paraId="6E66DA22" w14:textId="77777777" w:rsidR="001B5045" w:rsidRPr="001B5045" w:rsidRDefault="001B5045" w:rsidP="001B5045">
            <w:r w:rsidRPr="001B5045">
              <w:t>FFS following options in the maintenance stage:</w:t>
            </w:r>
          </w:p>
          <w:p w14:paraId="7ACB442F" w14:textId="77777777" w:rsidR="001B5045" w:rsidRPr="001B5045" w:rsidRDefault="001B5045" w:rsidP="005743CC">
            <w:pPr>
              <w:numPr>
                <w:ilvl w:val="0"/>
                <w:numId w:val="7"/>
              </w:numPr>
            </w:pPr>
            <w:r w:rsidRPr="001B5045">
              <w:t xml:space="preserve">Option 1: Introduce a predefined time duration T2, and UE re-evaluates the activation condition after this predefined time duration expires, where this time duration starts after UE quits from Multi-Rx mode. Value of T2 can be: </w:t>
            </w:r>
          </w:p>
          <w:p w14:paraId="6303A666" w14:textId="77777777" w:rsidR="001B5045" w:rsidRPr="001B5045" w:rsidRDefault="001B5045" w:rsidP="005743CC">
            <w:pPr>
              <w:numPr>
                <w:ilvl w:val="1"/>
                <w:numId w:val="7"/>
              </w:numPr>
            </w:pPr>
            <w:r w:rsidRPr="001B5045">
              <w:t>Alt 1: Use the values for T1 as a starting point.</w:t>
            </w:r>
          </w:p>
          <w:p w14:paraId="1E13837A" w14:textId="77777777" w:rsidR="001B5045" w:rsidRPr="001B5045" w:rsidRDefault="001B5045" w:rsidP="005743CC">
            <w:pPr>
              <w:numPr>
                <w:ilvl w:val="1"/>
                <w:numId w:val="7"/>
              </w:numPr>
            </w:pPr>
            <w:r w:rsidRPr="001B5045">
              <w:t xml:space="preserve">Alt 2: 5 s, which is predefined in RAN4 spec. </w:t>
            </w:r>
          </w:p>
          <w:p w14:paraId="6DA7B2CA" w14:textId="77777777" w:rsidR="001B5045" w:rsidRPr="001B5045" w:rsidRDefault="001B5045" w:rsidP="005743CC">
            <w:pPr>
              <w:numPr>
                <w:ilvl w:val="0"/>
                <w:numId w:val="7"/>
              </w:numPr>
            </w:pPr>
            <w:r w:rsidRPr="001B5045">
              <w:t>Option 2: It is up to UE implementation when to re-enter the FBS after quitting the last FBS.</w:t>
            </w:r>
          </w:p>
          <w:p w14:paraId="5582D68F" w14:textId="77777777" w:rsidR="001B5045" w:rsidRPr="001B5045" w:rsidRDefault="001B5045" w:rsidP="005743CC">
            <w:pPr>
              <w:numPr>
                <w:ilvl w:val="0"/>
                <w:numId w:val="7"/>
              </w:numPr>
            </w:pPr>
            <w:r w:rsidRPr="001B5045">
              <w:t>Option 3: It is up to UE implementation when to re-evaluation of the activation condition for FBS after quitting the last FBS.</w:t>
            </w:r>
          </w:p>
          <w:p w14:paraId="176E0A70" w14:textId="77777777" w:rsidR="001B5045" w:rsidRPr="001B5045" w:rsidRDefault="001B5045" w:rsidP="001B5045">
            <w:r w:rsidRPr="001B5045">
              <w:t>Agreement in Friday online:</w:t>
            </w:r>
          </w:p>
          <w:p w14:paraId="73932009" w14:textId="77777777" w:rsidR="001B5045" w:rsidRPr="001B5045" w:rsidRDefault="001B5045" w:rsidP="005743CC">
            <w:pPr>
              <w:numPr>
                <w:ilvl w:val="0"/>
                <w:numId w:val="8"/>
              </w:numPr>
            </w:pPr>
            <w:r w:rsidRPr="001B5045">
              <w:t>No consensus to introduce a predefined time duration T2 in the WI core part in RAN4.</w:t>
            </w:r>
          </w:p>
          <w:p w14:paraId="668F8050" w14:textId="77777777" w:rsidR="001B5045" w:rsidRDefault="001B5045" w:rsidP="004F5F61"/>
        </w:tc>
      </w:tr>
    </w:tbl>
    <w:p w14:paraId="678D6664" w14:textId="77777777" w:rsidR="001B5045" w:rsidRDefault="001B5045" w:rsidP="004F5F61"/>
    <w:p w14:paraId="724EBF4F" w14:textId="7DF5C9A0" w:rsidR="007C58BC" w:rsidRPr="006B3EC0" w:rsidRDefault="002F10BB" w:rsidP="00572C91">
      <w:r w:rsidRPr="006B3EC0">
        <w:t xml:space="preserve">In our view, </w:t>
      </w:r>
      <w:r w:rsidR="00C819C1" w:rsidRPr="006B3EC0">
        <w:t xml:space="preserve">defining a requirement for </w:t>
      </w:r>
      <w:r w:rsidRPr="006B3EC0">
        <w:t>re</w:t>
      </w:r>
      <w:r w:rsidR="00C819C1" w:rsidRPr="006B3EC0">
        <w:t>-evaluating</w:t>
      </w:r>
      <w:r w:rsidRPr="006B3EC0">
        <w:t xml:space="preserve"> the </w:t>
      </w:r>
      <w:r w:rsidR="00FA7FB5" w:rsidRPr="006B3EC0">
        <w:t xml:space="preserve">triggering </w:t>
      </w:r>
      <w:r w:rsidRPr="006B3EC0">
        <w:t xml:space="preserve">condition </w:t>
      </w:r>
      <w:r w:rsidR="002A158A" w:rsidRPr="006B3EC0">
        <w:t>does not seem</w:t>
      </w:r>
      <w:r w:rsidRPr="006B3EC0">
        <w:t xml:space="preserve"> needed, as the UE is anyways continuously </w:t>
      </w:r>
      <w:r w:rsidR="00087B7D" w:rsidRPr="006B3EC0">
        <w:t xml:space="preserve">performing measurements and knows whether the condition is met or not. </w:t>
      </w:r>
    </w:p>
    <w:p w14:paraId="2A7B7DE9" w14:textId="77777777" w:rsidR="007C58BC" w:rsidRPr="006B3EC0" w:rsidRDefault="007C58BC" w:rsidP="00572C91">
      <w:r w:rsidRPr="006B3EC0">
        <w:t>The following cases exist:</w:t>
      </w:r>
    </w:p>
    <w:p w14:paraId="746C3811" w14:textId="2CB22853" w:rsidR="00DE6495" w:rsidRDefault="007C58BC" w:rsidP="005743CC">
      <w:pPr>
        <w:pStyle w:val="ListParagraph"/>
        <w:numPr>
          <w:ilvl w:val="0"/>
          <w:numId w:val="6"/>
        </w:numPr>
      </w:pPr>
      <w:r w:rsidRPr="006B3EC0">
        <w:t xml:space="preserve">UE </w:t>
      </w:r>
      <w:r w:rsidR="00C22D38">
        <w:t>stops</w:t>
      </w:r>
      <w:r w:rsidRPr="006B3EC0">
        <w:t xml:space="preserve"> FBS at timer expiration and the condition after some time is not met any longer</w:t>
      </w:r>
      <w:r w:rsidR="006B3EC0">
        <w:t xml:space="preserve"> (UE moves back to cell </w:t>
      </w:r>
      <w:proofErr w:type="spellStart"/>
      <w:r w:rsidR="006B3EC0">
        <w:t>center</w:t>
      </w:r>
      <w:proofErr w:type="spellEnd"/>
      <w:r w:rsidR="006B3EC0">
        <w:t>)</w:t>
      </w:r>
    </w:p>
    <w:p w14:paraId="03B3D9E9" w14:textId="323C3DD0" w:rsidR="00807394" w:rsidRPr="006B3EC0" w:rsidRDefault="00807394" w:rsidP="005743CC">
      <w:pPr>
        <w:pStyle w:val="ListParagraph"/>
        <w:numPr>
          <w:ilvl w:val="0"/>
          <w:numId w:val="6"/>
        </w:numPr>
      </w:pPr>
      <w:r w:rsidRPr="006B3EC0">
        <w:t>UE exits FBS at timer expiration and the condition continues to be met</w:t>
      </w:r>
      <w:r>
        <w:t xml:space="preserve"> (UE stays at the cell edge)</w:t>
      </w:r>
    </w:p>
    <w:p w14:paraId="1601AC15" w14:textId="64C635C7" w:rsidR="00DE6495" w:rsidRDefault="00DE6495" w:rsidP="00DE6495">
      <w:r w:rsidRPr="00807394">
        <w:t xml:space="preserve">In the </w:t>
      </w:r>
      <w:r w:rsidR="00807394">
        <w:t>first</w:t>
      </w:r>
      <w:r w:rsidRPr="00807394">
        <w:t xml:space="preserve"> </w:t>
      </w:r>
      <w:r w:rsidR="00807394">
        <w:t>scenario</w:t>
      </w:r>
      <w:r w:rsidRPr="00807394">
        <w:t>, UE shall re-enter FBS when the condition becomes met again</w:t>
      </w:r>
      <w:r w:rsidR="006B3EC0" w:rsidRPr="00807394">
        <w:t xml:space="preserve"> (UE moves back to cell edge)</w:t>
      </w:r>
      <w:r w:rsidRPr="00807394">
        <w:t xml:space="preserve">. However, we do not think this counts as re-entry as it is the same </w:t>
      </w:r>
      <w:r w:rsidR="00F771A8">
        <w:t xml:space="preserve">scenario </w:t>
      </w:r>
      <w:r w:rsidRPr="00807394">
        <w:t>as entry condition</w:t>
      </w:r>
      <w:r w:rsidR="009D74D3" w:rsidRPr="00807394">
        <w:t xml:space="preserve"> becoming fulfilled </w:t>
      </w:r>
      <w:r w:rsidR="00F771A8">
        <w:t>(</w:t>
      </w:r>
      <w:r w:rsidR="009D74D3" w:rsidRPr="00807394">
        <w:t>again</w:t>
      </w:r>
      <w:r w:rsidR="00F771A8">
        <w:t>), where the UE would naturally need to restart FBS</w:t>
      </w:r>
      <w:r w:rsidRPr="00807394">
        <w:t>. Hence, this scenario is already covered.</w:t>
      </w:r>
    </w:p>
    <w:p w14:paraId="4FFD5510" w14:textId="2BFC0A8E" w:rsidR="005A69F7" w:rsidRDefault="005A69F7" w:rsidP="005A69F7">
      <w:pPr>
        <w:pStyle w:val="RAN4proposal"/>
      </w:pPr>
      <w:bookmarkStart w:id="4" w:name="_Toc210400634"/>
      <w:r>
        <w:t>After timer expiration, if the FBS condition stops being met and is met again, the UE shall re-enter FBS.</w:t>
      </w:r>
      <w:r w:rsidR="00C06FBA">
        <w:t xml:space="preserve"> This </w:t>
      </w:r>
      <w:r w:rsidR="00CA0F41">
        <w:t xml:space="preserve">is already covered and </w:t>
      </w:r>
      <w:r w:rsidR="00C06FBA">
        <w:t>has no specification impact.</w:t>
      </w:r>
      <w:bookmarkEnd w:id="4"/>
    </w:p>
    <w:p w14:paraId="51F99742" w14:textId="0F449C40" w:rsidR="00807394" w:rsidRPr="00807394" w:rsidRDefault="00807394" w:rsidP="00DE6495">
      <w:r>
        <w:t>Regarding the second scenario</w:t>
      </w:r>
      <w:r w:rsidR="001000A8">
        <w:t>, it has been proposed that after a second timer, the UE would re-evaluate the condition and re-enter FBS.</w:t>
      </w:r>
      <w:r w:rsidR="00DF74B6">
        <w:t xml:space="preserve"> In our view it is questionable how a timer would benefit the UE or network in this case. If the UE </w:t>
      </w:r>
      <w:r w:rsidR="00DF74B6">
        <w:lastRenderedPageBreak/>
        <w:t xml:space="preserve">stays stationary and network does not </w:t>
      </w:r>
      <w:r w:rsidR="00607EC7">
        <w:t>send a handover command</w:t>
      </w:r>
      <w:r w:rsidR="00DF74B6">
        <w:t>, it does not matter whether the UE performs fast or normal beam sweeping. UE re-entering FBS would be useful rather if the UE moves even closer to the cell edge and handover</w:t>
      </w:r>
      <w:r w:rsidR="00607EC7">
        <w:t xml:space="preserve"> becomes even more urgent. However, a second timer does not help to define such event. </w:t>
      </w:r>
      <w:r w:rsidR="009E2A95">
        <w:t xml:space="preserve">If a re-entry condition is to be defined, we think a second signal level (threshold) would be more informative than a second timer. However, we think such </w:t>
      </w:r>
      <w:r w:rsidR="00C2402C">
        <w:t>condition is not mandatory.</w:t>
      </w:r>
    </w:p>
    <w:p w14:paraId="0E5C8215" w14:textId="6CB87E30" w:rsidR="00572C91" w:rsidRDefault="008E24BD" w:rsidP="005743CC">
      <w:pPr>
        <w:pStyle w:val="RAN4proposal"/>
      </w:pPr>
      <w:bookmarkStart w:id="5" w:name="_Toc210400635"/>
      <w:r>
        <w:t xml:space="preserve">After timer expiration, if the FBS condition continues to be met, </w:t>
      </w:r>
      <w:r w:rsidR="005743CC">
        <w:t xml:space="preserve">we </w:t>
      </w:r>
      <w:r w:rsidR="00A20A77">
        <w:t>prefe</w:t>
      </w:r>
      <w:r w:rsidR="005743CC">
        <w:t xml:space="preserve">r </w:t>
      </w:r>
      <w:r w:rsidR="005743CC" w:rsidRPr="00EB6054">
        <w:rPr>
          <w:u w:val="single"/>
        </w:rPr>
        <w:t>not</w:t>
      </w:r>
      <w:r w:rsidR="005743CC">
        <w:t xml:space="preserve"> to</w:t>
      </w:r>
      <w:r w:rsidR="00C2402C">
        <w:t xml:space="preserve"> define a re-entry condition for FBS</w:t>
      </w:r>
      <w:r w:rsidR="00775086">
        <w:t>, but i</w:t>
      </w:r>
      <w:r w:rsidR="006A2919" w:rsidRPr="00C2402C">
        <w:t>f a</w:t>
      </w:r>
      <w:r w:rsidR="006B3B60" w:rsidRPr="00C2402C">
        <w:t xml:space="preserve"> rule for re-entry to FBS </w:t>
      </w:r>
      <w:r w:rsidR="006A2919" w:rsidRPr="00C2402C">
        <w:t>is needed, a</w:t>
      </w:r>
      <w:r w:rsidR="00277EAF" w:rsidRPr="00C2402C">
        <w:t xml:space="preserve"> second signal level based threshold </w:t>
      </w:r>
      <w:r w:rsidR="00C2402C">
        <w:t>w</w:t>
      </w:r>
      <w:r w:rsidR="00277EAF" w:rsidRPr="00C2402C">
        <w:t>ould be more useful than defining a second timer.</w:t>
      </w:r>
      <w:bookmarkEnd w:id="5"/>
    </w:p>
    <w:p w14:paraId="27113836" w14:textId="77777777" w:rsidR="000033AE" w:rsidRDefault="000033AE" w:rsidP="000033AE"/>
    <w:p w14:paraId="36BEF1CD" w14:textId="19FA099A" w:rsidR="000033AE" w:rsidRDefault="009D593D" w:rsidP="000033AE">
      <w:r>
        <w:t>A second issue that was raised regarding behaviour in different bands is shown below:</w:t>
      </w:r>
    </w:p>
    <w:tbl>
      <w:tblPr>
        <w:tblStyle w:val="TableGrid"/>
        <w:tblW w:w="0" w:type="auto"/>
        <w:tblLook w:val="04A0" w:firstRow="1" w:lastRow="0" w:firstColumn="1" w:lastColumn="0" w:noHBand="0" w:noVBand="1"/>
      </w:tblPr>
      <w:tblGrid>
        <w:gridCol w:w="9617"/>
      </w:tblGrid>
      <w:tr w:rsidR="009D593D" w14:paraId="24AEF991" w14:textId="77777777" w:rsidTr="009D593D">
        <w:tc>
          <w:tcPr>
            <w:tcW w:w="9617" w:type="dxa"/>
          </w:tcPr>
          <w:p w14:paraId="5BA03BB1" w14:textId="77777777" w:rsidR="009D593D" w:rsidRPr="009D593D" w:rsidRDefault="009D593D" w:rsidP="009D593D">
            <w:pPr>
              <w:keepNext/>
              <w:keepLines/>
              <w:overflowPunct w:val="0"/>
              <w:autoSpaceDE w:val="0"/>
              <w:autoSpaceDN w:val="0"/>
              <w:adjustRightInd w:val="0"/>
              <w:spacing w:before="120" w:after="180"/>
              <w:ind w:left="1134" w:hanging="1134"/>
              <w:textAlignment w:val="baseline"/>
              <w:outlineLvl w:val="2"/>
              <w:rPr>
                <w:rFonts w:ascii="Arial" w:eastAsia="DengXian" w:hAnsi="Arial" w:cs="Times New Roman"/>
                <w:sz w:val="21"/>
                <w:szCs w:val="20"/>
                <w:u w:val="single"/>
                <w:lang w:val="en-US" w:eastAsia="zh-CN"/>
              </w:rPr>
            </w:pPr>
            <w:r w:rsidRPr="009D593D">
              <w:rPr>
                <w:rFonts w:ascii="Arial" w:eastAsia="DengXian" w:hAnsi="Arial" w:cs="Times New Roman"/>
                <w:sz w:val="21"/>
                <w:szCs w:val="20"/>
                <w:u w:val="single"/>
                <w:lang w:val="en-US" w:eastAsia="zh-CN"/>
              </w:rPr>
              <w:t>Issue 1-</w:t>
            </w:r>
            <w:r w:rsidRPr="009D593D">
              <w:rPr>
                <w:rFonts w:ascii="Arial" w:eastAsia="DengXian" w:hAnsi="Arial" w:cs="Times New Roman" w:hint="eastAsia"/>
                <w:sz w:val="21"/>
                <w:szCs w:val="20"/>
                <w:u w:val="single"/>
                <w:lang w:val="en-US" w:eastAsia="zh-CN"/>
              </w:rPr>
              <w:t>1</w:t>
            </w:r>
            <w:r w:rsidRPr="009D593D">
              <w:rPr>
                <w:rFonts w:ascii="Arial" w:eastAsia="DengXian" w:hAnsi="Arial" w:cs="Times New Roman"/>
                <w:sz w:val="21"/>
                <w:szCs w:val="20"/>
                <w:u w:val="single"/>
                <w:lang w:val="en-US" w:eastAsia="zh-CN"/>
              </w:rPr>
              <w:t>-</w:t>
            </w:r>
            <w:r w:rsidRPr="009D593D">
              <w:rPr>
                <w:rFonts w:ascii="Arial" w:eastAsia="DengXian" w:hAnsi="Arial" w:cs="Times New Roman" w:hint="eastAsia"/>
                <w:sz w:val="21"/>
                <w:szCs w:val="20"/>
                <w:u w:val="single"/>
                <w:lang w:val="en-US" w:eastAsia="zh-CN"/>
              </w:rPr>
              <w:t>4</w:t>
            </w:r>
            <w:r w:rsidRPr="009D593D">
              <w:rPr>
                <w:rFonts w:ascii="Arial" w:eastAsia="DengXian" w:hAnsi="Arial" w:cs="Times New Roman"/>
                <w:sz w:val="21"/>
                <w:szCs w:val="20"/>
                <w:u w:val="single"/>
                <w:lang w:val="en-US" w:eastAsia="zh-CN"/>
              </w:rPr>
              <w:t xml:space="preserve">: </w:t>
            </w:r>
            <w:r w:rsidRPr="009D593D">
              <w:rPr>
                <w:rFonts w:ascii="Arial" w:eastAsia="DengXian" w:hAnsi="Arial" w:cs="Times New Roman" w:hint="eastAsia"/>
                <w:sz w:val="21"/>
                <w:szCs w:val="20"/>
                <w:u w:val="single"/>
                <w:lang w:val="en-US" w:eastAsia="zh-CN"/>
              </w:rPr>
              <w:t>Requirements when UE reports different BSF values for different bands</w:t>
            </w:r>
          </w:p>
          <w:p w14:paraId="2D1EE0AD" w14:textId="77777777" w:rsidR="009D593D" w:rsidRPr="009D593D" w:rsidRDefault="009D593D" w:rsidP="009D593D">
            <w:pPr>
              <w:overflowPunct w:val="0"/>
              <w:autoSpaceDE w:val="0"/>
              <w:autoSpaceDN w:val="0"/>
              <w:adjustRightInd w:val="0"/>
              <w:snapToGrid w:val="0"/>
              <w:spacing w:after="120"/>
              <w:textAlignment w:val="baseline"/>
              <w:rPr>
                <w:rFonts w:eastAsia="DengXian" w:cs="Times New Roman"/>
                <w:bCs/>
                <w:iCs/>
                <w:szCs w:val="21"/>
                <w:lang w:val="en-US" w:eastAsia="zh-CN"/>
              </w:rPr>
            </w:pPr>
            <w:r w:rsidRPr="009D593D">
              <w:rPr>
                <w:rFonts w:eastAsia="DengXian" w:cs="Times New Roman" w:hint="eastAsia"/>
                <w:bCs/>
                <w:iCs/>
                <w:szCs w:val="21"/>
                <w:lang w:val="en-US" w:eastAsia="zh-CN"/>
              </w:rPr>
              <w:t xml:space="preserve">Way forward: </w:t>
            </w:r>
          </w:p>
          <w:p w14:paraId="149E0B7E" w14:textId="77777777" w:rsidR="009D593D" w:rsidRPr="009D593D" w:rsidRDefault="009D593D" w:rsidP="009D593D">
            <w:pPr>
              <w:overflowPunct w:val="0"/>
              <w:autoSpaceDE w:val="0"/>
              <w:autoSpaceDN w:val="0"/>
              <w:adjustRightInd w:val="0"/>
              <w:snapToGrid w:val="0"/>
              <w:spacing w:after="120"/>
              <w:textAlignment w:val="baseline"/>
              <w:rPr>
                <w:rFonts w:eastAsia="DengXian" w:cs="Times New Roman"/>
                <w:bCs/>
                <w:iCs/>
                <w:szCs w:val="21"/>
                <w:lang w:val="en-US" w:eastAsia="zh-CN"/>
              </w:rPr>
            </w:pPr>
            <w:r w:rsidRPr="009D593D">
              <w:rPr>
                <w:rFonts w:eastAsia="DengXian" w:cs="Times New Roman" w:hint="eastAsia"/>
                <w:bCs/>
                <w:iCs/>
                <w:szCs w:val="21"/>
                <w:lang w:val="en-US" w:eastAsia="zh-CN"/>
              </w:rPr>
              <w:t xml:space="preserve">Further discuss this issue in the </w:t>
            </w:r>
            <w:r w:rsidRPr="009D593D">
              <w:rPr>
                <w:rFonts w:eastAsia="DengXian" w:cs="Times New Roman"/>
                <w:bCs/>
                <w:iCs/>
                <w:szCs w:val="21"/>
                <w:lang w:val="en-US" w:eastAsia="zh-CN"/>
              </w:rPr>
              <w:t>maintenance</w:t>
            </w:r>
            <w:r w:rsidRPr="009D593D">
              <w:rPr>
                <w:rFonts w:eastAsia="DengXian" w:cs="Times New Roman" w:hint="eastAsia"/>
                <w:bCs/>
                <w:iCs/>
                <w:szCs w:val="21"/>
                <w:lang w:val="en-US" w:eastAsia="zh-CN"/>
              </w:rPr>
              <w:t xml:space="preserve"> stage: </w:t>
            </w:r>
          </w:p>
          <w:p w14:paraId="0E2B8E8F" w14:textId="77777777" w:rsidR="009D593D" w:rsidRPr="009D593D" w:rsidRDefault="009D593D" w:rsidP="009D593D">
            <w:pPr>
              <w:numPr>
                <w:ilvl w:val="1"/>
                <w:numId w:val="9"/>
              </w:numPr>
              <w:overflowPunct w:val="0"/>
              <w:autoSpaceDE w:val="0"/>
              <w:autoSpaceDN w:val="0"/>
              <w:adjustRightInd w:val="0"/>
              <w:spacing w:after="120"/>
              <w:ind w:left="851"/>
              <w:textAlignment w:val="baseline"/>
              <w:rPr>
                <w:rFonts w:eastAsia="SimSun" w:cs="Times New Roman"/>
                <w:szCs w:val="24"/>
                <w:lang w:eastAsia="zh-CN"/>
              </w:rPr>
            </w:pPr>
            <w:r w:rsidRPr="009D593D">
              <w:rPr>
                <w:rFonts w:eastAsia="SimSun" w:cs="Times New Roman"/>
                <w:szCs w:val="24"/>
                <w:lang w:eastAsia="zh-CN"/>
              </w:rPr>
              <w:t>Option 1:</w:t>
            </w:r>
            <w:r w:rsidRPr="009D593D">
              <w:rPr>
                <w:rFonts w:eastAsia="SimSun" w:cs="Times New Roman" w:hint="eastAsia"/>
                <w:szCs w:val="24"/>
                <w:lang w:eastAsia="zh-CN"/>
              </w:rPr>
              <w:t xml:space="preserve"> </w:t>
            </w:r>
          </w:p>
          <w:p w14:paraId="3808B6C0" w14:textId="77777777" w:rsidR="009D593D" w:rsidRPr="009D593D" w:rsidRDefault="009D593D" w:rsidP="009D593D">
            <w:pPr>
              <w:numPr>
                <w:ilvl w:val="2"/>
                <w:numId w:val="9"/>
              </w:numPr>
              <w:overflowPunct w:val="0"/>
              <w:autoSpaceDE w:val="0"/>
              <w:autoSpaceDN w:val="0"/>
              <w:adjustRightInd w:val="0"/>
              <w:spacing w:after="180"/>
              <w:ind w:left="1276"/>
              <w:textAlignment w:val="baseline"/>
              <w:rPr>
                <w:rFonts w:eastAsia="Times New Roman" w:cs="Times New Roman"/>
                <w:szCs w:val="24"/>
                <w:lang w:eastAsia="zh-CN"/>
              </w:rPr>
            </w:pPr>
            <w:r w:rsidRPr="009D593D">
              <w:rPr>
                <w:rFonts w:eastAsia="DengXian" w:cs="Times New Roman"/>
                <w:szCs w:val="20"/>
                <w:lang w:val="en-US" w:eastAsia="zh-CN"/>
              </w:rPr>
              <w:t>It is proposed to discuss how to specify the measurement requirements when multiple bands are involved and UE reports different BSF values for different bands. One simple option is to specify the requirement based on the largest BSF value reported over all the bands where an MO is configured.</w:t>
            </w:r>
            <w:r w:rsidRPr="009D593D">
              <w:rPr>
                <w:rFonts w:eastAsia="DengXian" w:cs="Times New Roman" w:hint="eastAsia"/>
                <w:szCs w:val="20"/>
                <w:lang w:val="en-US" w:eastAsia="zh-CN"/>
              </w:rPr>
              <w:t xml:space="preserve"> </w:t>
            </w:r>
          </w:p>
          <w:p w14:paraId="36B3A433" w14:textId="77777777" w:rsidR="009D593D" w:rsidRDefault="009D593D" w:rsidP="000033AE"/>
        </w:tc>
      </w:tr>
    </w:tbl>
    <w:p w14:paraId="7AED04CB" w14:textId="77777777" w:rsidR="009D593D" w:rsidRDefault="009D593D" w:rsidP="000033AE"/>
    <w:p w14:paraId="6B350855" w14:textId="11EACD90" w:rsidR="00742D8A" w:rsidRDefault="009D593D" w:rsidP="000033AE">
      <w:r>
        <w:t xml:space="preserve">The way we understand option 1 is that </w:t>
      </w:r>
      <w:r w:rsidR="0027148B">
        <w:t xml:space="preserve">it is a relaxation of the measurement delay, where the worst BSF will dominate the required measurement delay. We don’t think this is necessary. In existing requirements, the measurement delay requirement is defined per measurement object. For example, </w:t>
      </w:r>
      <w:r w:rsidR="00A048EE">
        <w:t>if the SMTC periodicity for different measurement objects is different, the MO with larger SMTC period will have a longer measurement delay.</w:t>
      </w:r>
      <w:r w:rsidR="00742D8A">
        <w:t xml:space="preserve"> It is clear that the requirements consider the SMTC periodicity of each measurement object individually, as it can be observed in the following paragraph from 38.133 clause 9.3.1: </w:t>
      </w:r>
    </w:p>
    <w:tbl>
      <w:tblPr>
        <w:tblStyle w:val="TableGrid"/>
        <w:tblW w:w="0" w:type="auto"/>
        <w:tblLook w:val="04A0" w:firstRow="1" w:lastRow="0" w:firstColumn="1" w:lastColumn="0" w:noHBand="0" w:noVBand="1"/>
      </w:tblPr>
      <w:tblGrid>
        <w:gridCol w:w="9617"/>
      </w:tblGrid>
      <w:tr w:rsidR="00742D8A" w14:paraId="5E7BC048" w14:textId="77777777" w:rsidTr="00742D8A">
        <w:tc>
          <w:tcPr>
            <w:tcW w:w="9617" w:type="dxa"/>
          </w:tcPr>
          <w:p w14:paraId="3020341B" w14:textId="0F9F1E1E" w:rsidR="00742D8A" w:rsidRDefault="00742D8A" w:rsidP="000033AE">
            <w:r w:rsidRPr="00742D8A">
              <w:rPr>
                <w:noProof/>
              </w:rPr>
              <w:drawing>
                <wp:inline distT="0" distB="0" distL="0" distR="0" wp14:anchorId="66531766" wp14:editId="1CB58E3B">
                  <wp:extent cx="6113145" cy="706120"/>
                  <wp:effectExtent l="0" t="0" r="1905" b="0"/>
                  <wp:docPr id="6748958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4895834" name=""/>
                          <pic:cNvPicPr/>
                        </pic:nvPicPr>
                        <pic:blipFill>
                          <a:blip r:embed="rId13"/>
                          <a:stretch>
                            <a:fillRect/>
                          </a:stretch>
                        </pic:blipFill>
                        <pic:spPr>
                          <a:xfrm>
                            <a:off x="0" y="0"/>
                            <a:ext cx="6113145" cy="706120"/>
                          </a:xfrm>
                          <a:prstGeom prst="rect">
                            <a:avLst/>
                          </a:prstGeom>
                        </pic:spPr>
                      </pic:pic>
                    </a:graphicData>
                  </a:graphic>
                </wp:inline>
              </w:drawing>
            </w:r>
          </w:p>
        </w:tc>
      </w:tr>
    </w:tbl>
    <w:p w14:paraId="218AE6FE" w14:textId="77777777" w:rsidR="00742D8A" w:rsidRDefault="00742D8A" w:rsidP="000033AE"/>
    <w:p w14:paraId="3E209D95" w14:textId="0939919E" w:rsidR="004E47AD" w:rsidRDefault="004E47AD" w:rsidP="004E47AD">
      <w:pPr>
        <w:pStyle w:val="RAN4observation0"/>
      </w:pPr>
      <w:bookmarkStart w:id="6" w:name="_Toc210400636"/>
      <w:r>
        <w:t>Existing measurement delay requirements consider different measurement delay for each measurement object.</w:t>
      </w:r>
      <w:bookmarkEnd w:id="6"/>
      <w:r>
        <w:t xml:space="preserve"> </w:t>
      </w:r>
    </w:p>
    <w:p w14:paraId="1A3DABD5" w14:textId="1FAE0647" w:rsidR="009D593D" w:rsidRDefault="00A048EE" w:rsidP="000033AE">
      <w:r>
        <w:t xml:space="preserve">The same applies here. If the UE is configured with 2 MOs for different bands, and on the first band the UE reports support of BSF = </w:t>
      </w:r>
      <w:r w:rsidR="009C4D6A">
        <w:t>6</w:t>
      </w:r>
      <w:r w:rsidR="00682723">
        <w:t xml:space="preserve">, while in the second band it reports support of </w:t>
      </w:r>
      <w:r w:rsidR="00BE216A" w:rsidRPr="00BE216A">
        <w:t>fastRx-BSF-MeasDelayReduction-r19</w:t>
      </w:r>
      <w:r w:rsidR="00682723">
        <w:t xml:space="preserve"> = </w:t>
      </w:r>
      <w:r w:rsidR="009C4D6A">
        <w:t>2</w:t>
      </w:r>
      <w:r w:rsidR="00682723">
        <w:t xml:space="preserve">, it is only natural that the measurement delay will be faster for the second band. </w:t>
      </w:r>
    </w:p>
    <w:p w14:paraId="545E1FBE" w14:textId="1756B670" w:rsidR="009D593D" w:rsidRDefault="009C4D6A" w:rsidP="009C4D6A">
      <w:pPr>
        <w:pStyle w:val="RAN4proposal"/>
      </w:pPr>
      <w:bookmarkStart w:id="7" w:name="_Toc210400637"/>
      <w:r>
        <w:t xml:space="preserve">When multiple bands are involved, </w:t>
      </w:r>
      <w:r w:rsidR="003F32C8">
        <w:t>the measurement requirement is calculated as in legacy requirements, i.e. per measurement object.</w:t>
      </w:r>
      <w:bookmarkEnd w:id="7"/>
      <w:r w:rsidR="003F32C8">
        <w:t xml:space="preserve"> </w:t>
      </w:r>
    </w:p>
    <w:p w14:paraId="5338E8EF" w14:textId="77777777" w:rsidR="00256361" w:rsidRDefault="00256361" w:rsidP="00256361"/>
    <w:p w14:paraId="2A399C15" w14:textId="0C79E667" w:rsidR="00256361" w:rsidRDefault="00256361" w:rsidP="00256361">
      <w:r>
        <w:t>The last open FFS point from previous meeting is the following:</w:t>
      </w:r>
    </w:p>
    <w:tbl>
      <w:tblPr>
        <w:tblStyle w:val="TableGrid"/>
        <w:tblW w:w="0" w:type="auto"/>
        <w:tblLook w:val="04A0" w:firstRow="1" w:lastRow="0" w:firstColumn="1" w:lastColumn="0" w:noHBand="0" w:noVBand="1"/>
      </w:tblPr>
      <w:tblGrid>
        <w:gridCol w:w="9617"/>
      </w:tblGrid>
      <w:tr w:rsidR="00256361" w14:paraId="1F7ECA50" w14:textId="77777777" w:rsidTr="00256361">
        <w:tc>
          <w:tcPr>
            <w:tcW w:w="9617" w:type="dxa"/>
          </w:tcPr>
          <w:p w14:paraId="3ABEBD0F" w14:textId="77777777" w:rsidR="00256361" w:rsidRPr="004117DF" w:rsidRDefault="00256361" w:rsidP="00256361">
            <w:pPr>
              <w:pStyle w:val="Heading3"/>
              <w:rPr>
                <w:rFonts w:eastAsiaTheme="minorEastAsia"/>
                <w:sz w:val="21"/>
                <w:u w:val="single"/>
                <w:lang w:val="en-US"/>
              </w:rPr>
            </w:pPr>
            <w:r w:rsidRPr="004117DF">
              <w:rPr>
                <w:rFonts w:eastAsiaTheme="minorEastAsia"/>
                <w:sz w:val="21"/>
                <w:u w:val="single"/>
                <w:lang w:val="en-US"/>
              </w:rPr>
              <w:lastRenderedPageBreak/>
              <w:t>Issue 1-</w:t>
            </w:r>
            <w:r w:rsidRPr="004117DF">
              <w:rPr>
                <w:rFonts w:eastAsiaTheme="minorEastAsia" w:hint="eastAsia"/>
                <w:sz w:val="21"/>
                <w:u w:val="single"/>
                <w:lang w:val="en-US"/>
              </w:rPr>
              <w:t>1</w:t>
            </w:r>
            <w:r w:rsidRPr="004117DF">
              <w:rPr>
                <w:rFonts w:eastAsiaTheme="minorEastAsia"/>
                <w:sz w:val="21"/>
                <w:u w:val="single"/>
                <w:lang w:val="en-US"/>
              </w:rPr>
              <w:t>-</w:t>
            </w:r>
            <w:r w:rsidRPr="004117DF">
              <w:rPr>
                <w:rFonts w:eastAsiaTheme="minorEastAsia" w:hint="eastAsia"/>
                <w:sz w:val="21"/>
                <w:u w:val="single"/>
                <w:lang w:val="en-US"/>
              </w:rPr>
              <w:t>5</w:t>
            </w:r>
            <w:r w:rsidRPr="004117DF">
              <w:rPr>
                <w:rFonts w:eastAsiaTheme="minorEastAsia"/>
                <w:sz w:val="21"/>
                <w:u w:val="single"/>
                <w:lang w:val="en-US"/>
              </w:rPr>
              <w:t xml:space="preserve">: </w:t>
            </w:r>
            <w:r w:rsidRPr="004117DF">
              <w:rPr>
                <w:rFonts w:eastAsiaTheme="minorEastAsia" w:hint="eastAsia"/>
                <w:sz w:val="21"/>
                <w:u w:val="single"/>
                <w:lang w:val="en-US"/>
              </w:rPr>
              <w:t xml:space="preserve">Revision of the agreement on </w:t>
            </w:r>
            <w:r w:rsidRPr="004117DF">
              <w:rPr>
                <w:rFonts w:eastAsiaTheme="minorEastAsia"/>
                <w:sz w:val="21"/>
                <w:u w:val="single"/>
                <w:lang w:val="en-US"/>
              </w:rPr>
              <w:t>applicability</w:t>
            </w:r>
            <w:r w:rsidRPr="004117DF">
              <w:rPr>
                <w:rFonts w:eastAsiaTheme="minorEastAsia" w:hint="eastAsia"/>
                <w:sz w:val="21"/>
                <w:u w:val="single"/>
                <w:lang w:val="en-US"/>
              </w:rPr>
              <w:t xml:space="preserve"> requirement</w:t>
            </w:r>
          </w:p>
          <w:p w14:paraId="4267C8E2" w14:textId="77777777" w:rsidR="00256361" w:rsidRPr="00267CB4" w:rsidRDefault="00256361" w:rsidP="00256361">
            <w:pPr>
              <w:rPr>
                <w:rFonts w:eastAsiaTheme="minorEastAsia" w:cstheme="minorHAnsi"/>
                <w:highlight w:val="green"/>
              </w:rPr>
            </w:pPr>
            <w:r w:rsidRPr="00267CB4">
              <w:rPr>
                <w:rFonts w:cstheme="minorHAnsi"/>
                <w:highlight w:val="green"/>
              </w:rPr>
              <w:t>Agreement</w:t>
            </w:r>
            <w:r w:rsidRPr="00267CB4">
              <w:rPr>
                <w:rFonts w:eastAsiaTheme="minorEastAsia" w:cstheme="minorHAnsi" w:hint="eastAsia"/>
                <w:highlight w:val="green"/>
              </w:rPr>
              <w:t xml:space="preserve"> in Tuesday ad-hoc</w:t>
            </w:r>
            <w:r w:rsidRPr="00267CB4">
              <w:rPr>
                <w:rFonts w:cstheme="minorHAnsi"/>
                <w:highlight w:val="green"/>
              </w:rPr>
              <w:t>:</w:t>
            </w:r>
          </w:p>
          <w:p w14:paraId="2292572D" w14:textId="77777777" w:rsidR="00256361" w:rsidRPr="00267CB4" w:rsidRDefault="00256361" w:rsidP="00256361">
            <w:pPr>
              <w:pStyle w:val="ListParagraph"/>
              <w:widowControl w:val="0"/>
              <w:numPr>
                <w:ilvl w:val="0"/>
                <w:numId w:val="10"/>
              </w:numPr>
              <w:spacing w:afterLines="50" w:after="120"/>
              <w:ind w:hangingChars="210"/>
              <w:contextualSpacing w:val="0"/>
              <w:jc w:val="both"/>
            </w:pPr>
            <w:r w:rsidRPr="00267CB4">
              <w:rPr>
                <w:iCs/>
              </w:rPr>
              <w:t xml:space="preserve">The FBS enhancement applies for the case when the </w:t>
            </w:r>
            <w:r w:rsidRPr="00267CB4">
              <w:t>target and serving carrier frequency are same.</w:t>
            </w:r>
          </w:p>
          <w:p w14:paraId="6327215A" w14:textId="77777777" w:rsidR="00256361" w:rsidRPr="00267CB4" w:rsidRDefault="00256361" w:rsidP="00256361">
            <w:pPr>
              <w:pStyle w:val="ListParagraph"/>
              <w:widowControl w:val="0"/>
              <w:numPr>
                <w:ilvl w:val="0"/>
                <w:numId w:val="10"/>
              </w:numPr>
              <w:spacing w:afterLines="50" w:after="120"/>
              <w:ind w:hangingChars="210"/>
              <w:contextualSpacing w:val="0"/>
              <w:jc w:val="both"/>
            </w:pPr>
            <w:r w:rsidRPr="00267CB4">
              <w:t xml:space="preserve">FFS in maintenance which CC to apply the FBS when </w:t>
            </w:r>
            <w:r w:rsidRPr="00267CB4">
              <w:rPr>
                <w:iCs/>
              </w:rPr>
              <w:t xml:space="preserve">the </w:t>
            </w:r>
            <w:r w:rsidRPr="00267CB4">
              <w:t>target and serving carrier frequency are on different.</w:t>
            </w:r>
          </w:p>
          <w:p w14:paraId="6F3768E3" w14:textId="77777777" w:rsidR="00256361" w:rsidRPr="00267CB4" w:rsidRDefault="00256361" w:rsidP="00256361">
            <w:pPr>
              <w:spacing w:after="120"/>
              <w:rPr>
                <w:rFonts w:cstheme="minorHAnsi"/>
                <w:highlight w:val="green"/>
              </w:rPr>
            </w:pPr>
            <w:r w:rsidRPr="00267CB4">
              <w:rPr>
                <w:rFonts w:cstheme="minorHAnsi"/>
                <w:highlight w:val="green"/>
              </w:rPr>
              <w:t>Agreement</w:t>
            </w:r>
            <w:r w:rsidRPr="00267CB4">
              <w:rPr>
                <w:rFonts w:eastAsiaTheme="minorEastAsia" w:cstheme="minorHAnsi" w:hint="eastAsia"/>
                <w:highlight w:val="green"/>
              </w:rPr>
              <w:t xml:space="preserve"> in Thursday online</w:t>
            </w:r>
            <w:r w:rsidRPr="00267CB4">
              <w:rPr>
                <w:rFonts w:cstheme="minorHAnsi"/>
                <w:highlight w:val="green"/>
              </w:rPr>
              <w:t>:</w:t>
            </w:r>
          </w:p>
          <w:p w14:paraId="3BBFBB96" w14:textId="77777777" w:rsidR="00256361" w:rsidRPr="00267CB4" w:rsidRDefault="00256361" w:rsidP="00256361">
            <w:pPr>
              <w:rPr>
                <w:rFonts w:cstheme="minorHAnsi"/>
                <w:lang w:val="en-US"/>
              </w:rPr>
            </w:pPr>
            <w:r w:rsidRPr="00267CB4">
              <w:rPr>
                <w:rFonts w:cstheme="minorHAnsi"/>
              </w:rPr>
              <w:t>When the target and serving carrier frequency are different,</w:t>
            </w:r>
          </w:p>
          <w:p w14:paraId="458C2B5B" w14:textId="77777777" w:rsidR="00256361" w:rsidRPr="00267CB4" w:rsidRDefault="00256361" w:rsidP="00256361">
            <w:pPr>
              <w:pStyle w:val="ListParagraph"/>
              <w:widowControl w:val="0"/>
              <w:numPr>
                <w:ilvl w:val="0"/>
                <w:numId w:val="10"/>
              </w:numPr>
              <w:spacing w:afterLines="50" w:after="120"/>
              <w:ind w:hangingChars="210"/>
              <w:contextualSpacing w:val="0"/>
              <w:jc w:val="both"/>
              <w:rPr>
                <w:rFonts w:cstheme="minorHAnsi"/>
              </w:rPr>
            </w:pPr>
            <w:r w:rsidRPr="00267CB4">
              <w:rPr>
                <w:rFonts w:cstheme="minorHAnsi" w:hint="eastAsia"/>
              </w:rPr>
              <w:t>F</w:t>
            </w:r>
            <w:r w:rsidRPr="00267CB4">
              <w:rPr>
                <w:rFonts w:cstheme="minorHAnsi"/>
              </w:rPr>
              <w:t>BS requirement does not apply to inter-frequency measurement without measurement gap.</w:t>
            </w:r>
          </w:p>
          <w:p w14:paraId="2D680EF0" w14:textId="77777777" w:rsidR="00256361" w:rsidRPr="00267CB4" w:rsidRDefault="00256361" w:rsidP="00256361">
            <w:pPr>
              <w:pStyle w:val="ListParagraph"/>
              <w:widowControl w:val="0"/>
              <w:numPr>
                <w:ilvl w:val="0"/>
                <w:numId w:val="10"/>
              </w:numPr>
              <w:spacing w:afterLines="50" w:after="120"/>
              <w:ind w:hangingChars="210"/>
              <w:contextualSpacing w:val="0"/>
              <w:jc w:val="both"/>
              <w:rPr>
                <w:rFonts w:cstheme="minorHAnsi"/>
              </w:rPr>
            </w:pPr>
            <w:r w:rsidRPr="00267CB4">
              <w:rPr>
                <w:rFonts w:cstheme="minorHAnsi"/>
              </w:rPr>
              <w:t xml:space="preserve">FFS inter-frequency measurement with </w:t>
            </w:r>
            <w:r w:rsidRPr="00267CB4">
              <w:rPr>
                <w:rFonts w:cstheme="minorHAnsi" w:hint="eastAsia"/>
              </w:rPr>
              <w:t>p</w:t>
            </w:r>
            <w:r w:rsidRPr="00267CB4">
              <w:rPr>
                <w:rFonts w:cstheme="minorHAnsi"/>
              </w:rPr>
              <w:t>er-FR measurement gap.</w:t>
            </w:r>
          </w:p>
          <w:p w14:paraId="4B3731D0" w14:textId="147F34BB" w:rsidR="00256361" w:rsidRDefault="00256361" w:rsidP="00256361">
            <w:pPr>
              <w:pStyle w:val="ListParagraph"/>
              <w:widowControl w:val="0"/>
              <w:numPr>
                <w:ilvl w:val="0"/>
                <w:numId w:val="10"/>
              </w:numPr>
              <w:spacing w:afterLines="50" w:after="120"/>
              <w:ind w:hangingChars="210"/>
              <w:contextualSpacing w:val="0"/>
              <w:jc w:val="both"/>
            </w:pPr>
            <w:r w:rsidRPr="00267CB4">
              <w:rPr>
                <w:rFonts w:cstheme="minorHAnsi"/>
              </w:rPr>
              <w:t>Note: inter-RAT is not in the scope.</w:t>
            </w:r>
          </w:p>
        </w:tc>
      </w:tr>
    </w:tbl>
    <w:p w14:paraId="07ABFF36" w14:textId="77777777" w:rsidR="00256361" w:rsidRDefault="00256361" w:rsidP="00256361"/>
    <w:p w14:paraId="1B1C2D44" w14:textId="6BF966AF" w:rsidR="0014165E" w:rsidRDefault="00DA46F7" w:rsidP="00256361">
      <w:r>
        <w:t xml:space="preserve">In the case of </w:t>
      </w:r>
      <w:r w:rsidR="009F7FEF">
        <w:t>the FFS in issue 1-1-5</w:t>
      </w:r>
      <w:r>
        <w:t>, the UE will</w:t>
      </w:r>
      <w:r w:rsidR="009F7FEF">
        <w:t xml:space="preserve"> have a dedicated gap for performing the measurements. I</w:t>
      </w:r>
      <w:r w:rsidR="004C7EB9">
        <w:t>n</w:t>
      </w:r>
      <w:r w:rsidR="009F7FEF">
        <w:t xml:space="preserve"> this case, is it not clear what would be the limitation of performing inter-frequency measurement</w:t>
      </w:r>
      <w:r w:rsidR="00DF649E">
        <w:t>.</w:t>
      </w:r>
      <w:r w:rsidR="009F7FEF">
        <w:t xml:space="preserve"> </w:t>
      </w:r>
      <w:r w:rsidR="00DF649E">
        <w:t>S</w:t>
      </w:r>
      <w:r w:rsidR="009F7FEF">
        <w:t xml:space="preserve">ince the UE </w:t>
      </w:r>
      <w:r w:rsidR="00DF649E">
        <w:t xml:space="preserve">is not receiving data during the gap, it </w:t>
      </w:r>
      <w:r w:rsidR="009F7FEF">
        <w:t xml:space="preserve">should have the </w:t>
      </w:r>
      <w:r w:rsidR="00DF649E">
        <w:t xml:space="preserve">multiple Rx available for performing the measurements within the gap. </w:t>
      </w:r>
      <w:r w:rsidR="0014165E">
        <w:t xml:space="preserve">Furthermore, we already specified requirements for measurements with gaps, so it is not clear why a concern is raised specifically on </w:t>
      </w:r>
      <w:r w:rsidR="0001613E">
        <w:t>measurements</w:t>
      </w:r>
      <w:r w:rsidR="0014165E">
        <w:t xml:space="preserve"> without gaps. </w:t>
      </w:r>
    </w:p>
    <w:p w14:paraId="7B935542" w14:textId="6BF29478" w:rsidR="00256361" w:rsidRDefault="00DA46F7" w:rsidP="00DA46F7">
      <w:pPr>
        <w:pStyle w:val="RAN4proposal"/>
      </w:pPr>
      <w:bookmarkStart w:id="8" w:name="_Toc210400638"/>
      <w:r>
        <w:t>FBS applies for inter-frequency measurement with per-FR measurement gap.</w:t>
      </w:r>
      <w:bookmarkEnd w:id="8"/>
      <w:r>
        <w:t xml:space="preserve"> </w:t>
      </w:r>
    </w:p>
    <w:p w14:paraId="32C52535" w14:textId="46A28BE9" w:rsidR="00F82A18" w:rsidRPr="00187BF7" w:rsidRDefault="00F82A18" w:rsidP="00187BF7">
      <w:pPr>
        <w:pStyle w:val="ListParagraph"/>
        <w:keepNext/>
        <w:keepLines/>
        <w:numPr>
          <w:ilvl w:val="1"/>
          <w:numId w:val="6"/>
        </w:numPr>
        <w:spacing w:before="180" w:after="180" w:line="240" w:lineRule="auto"/>
        <w:outlineLvl w:val="1"/>
        <w:rPr>
          <w:rFonts w:ascii="Arial" w:eastAsia="Times New Roman" w:hAnsi="Arial" w:cs="Times New Roman"/>
          <w:sz w:val="32"/>
          <w:szCs w:val="20"/>
        </w:rPr>
      </w:pPr>
      <w:bookmarkStart w:id="9" w:name="_Toc116995848"/>
      <w:r w:rsidRPr="00187BF7">
        <w:rPr>
          <w:rFonts w:ascii="Arial" w:eastAsia="Times New Roman" w:hAnsi="Arial" w:cs="Times New Roman"/>
          <w:sz w:val="32"/>
          <w:szCs w:val="20"/>
        </w:rPr>
        <w:t xml:space="preserve">Fast </w:t>
      </w:r>
      <w:proofErr w:type="spellStart"/>
      <w:r w:rsidRPr="00187BF7">
        <w:rPr>
          <w:rFonts w:ascii="Arial" w:eastAsia="Times New Roman" w:hAnsi="Arial" w:cs="Times New Roman"/>
          <w:sz w:val="32"/>
          <w:szCs w:val="20"/>
        </w:rPr>
        <w:t>Scell</w:t>
      </w:r>
      <w:proofErr w:type="spellEnd"/>
      <w:r w:rsidRPr="00187BF7">
        <w:rPr>
          <w:rFonts w:ascii="Arial" w:eastAsia="Times New Roman" w:hAnsi="Arial" w:cs="Times New Roman"/>
          <w:sz w:val="32"/>
          <w:szCs w:val="20"/>
        </w:rPr>
        <w:t xml:space="preserve"> activation with EMR</w:t>
      </w:r>
    </w:p>
    <w:p w14:paraId="5031307A" w14:textId="77777777" w:rsidR="00F82A18" w:rsidRPr="00F82A18" w:rsidRDefault="00F82A18" w:rsidP="00F82A18">
      <w:pPr>
        <w:numPr>
          <w:ilvl w:val="2"/>
          <w:numId w:val="4"/>
        </w:numPr>
        <w:ind w:left="505" w:hanging="505"/>
        <w:rPr>
          <w:rFonts w:ascii="Arial" w:hAnsi="Arial" w:cs="Arial"/>
          <w:sz w:val="24"/>
        </w:rPr>
      </w:pPr>
      <w:r w:rsidRPr="00F82A18">
        <w:rPr>
          <w:rFonts w:ascii="Arial" w:hAnsi="Arial" w:cs="Arial"/>
          <w:sz w:val="24"/>
        </w:rPr>
        <w:t>UE capability</w:t>
      </w:r>
    </w:p>
    <w:p w14:paraId="0A1DAA71" w14:textId="77777777" w:rsidR="00F82A18" w:rsidRPr="00F82A18" w:rsidRDefault="00F82A18" w:rsidP="00F82A18">
      <w:pPr>
        <w:rPr>
          <w:rFonts w:eastAsiaTheme="majorEastAsia" w:cs="Times New Roman"/>
          <w:b/>
          <w:bCs/>
          <w:sz w:val="21"/>
          <w:szCs w:val="24"/>
          <w:u w:val="single"/>
          <w:lang w:val="en-US" w:eastAsia="ko-KR"/>
        </w:rPr>
      </w:pPr>
      <w:r w:rsidRPr="00F82A18">
        <w:rPr>
          <w:rFonts w:eastAsiaTheme="majorEastAsia" w:cs="Times New Roman"/>
          <w:b/>
          <w:bCs/>
          <w:sz w:val="21"/>
          <w:szCs w:val="24"/>
          <w:u w:val="single"/>
          <w:lang w:val="en-US" w:eastAsia="ko-KR"/>
        </w:rPr>
        <w:t xml:space="preserve">Issue 2-1-1: UE capability for EMR-based fast </w:t>
      </w:r>
      <w:proofErr w:type="spellStart"/>
      <w:r w:rsidRPr="00F82A18">
        <w:rPr>
          <w:rFonts w:eastAsiaTheme="majorEastAsia" w:cs="Times New Roman"/>
          <w:b/>
          <w:bCs/>
          <w:sz w:val="21"/>
          <w:szCs w:val="24"/>
          <w:u w:val="single"/>
          <w:lang w:val="en-US" w:eastAsia="ko-KR"/>
        </w:rPr>
        <w:t>SCell</w:t>
      </w:r>
      <w:proofErr w:type="spellEnd"/>
      <w:r w:rsidRPr="00F82A18">
        <w:rPr>
          <w:rFonts w:eastAsiaTheme="majorEastAsia" w:cs="Times New Roman"/>
          <w:b/>
          <w:bCs/>
          <w:sz w:val="21"/>
          <w:szCs w:val="24"/>
          <w:u w:val="single"/>
          <w:lang w:val="en-US" w:eastAsia="ko-KR"/>
        </w:rPr>
        <w:t xml:space="preserve"> activation</w:t>
      </w:r>
    </w:p>
    <w:tbl>
      <w:tblPr>
        <w:tblStyle w:val="TableGrid1"/>
        <w:tblW w:w="0" w:type="auto"/>
        <w:tblLook w:val="04A0" w:firstRow="1" w:lastRow="0" w:firstColumn="1" w:lastColumn="0" w:noHBand="0" w:noVBand="1"/>
      </w:tblPr>
      <w:tblGrid>
        <w:gridCol w:w="9617"/>
      </w:tblGrid>
      <w:tr w:rsidR="00F82A18" w:rsidRPr="00F82A18" w14:paraId="5D77B4B9" w14:textId="77777777" w:rsidTr="009025DE">
        <w:tc>
          <w:tcPr>
            <w:tcW w:w="9617" w:type="dxa"/>
          </w:tcPr>
          <w:p w14:paraId="2F2056AB" w14:textId="77777777" w:rsidR="00F82A18" w:rsidRPr="00F82A18" w:rsidRDefault="00F82A18" w:rsidP="00F82A18">
            <w:pPr>
              <w:spacing w:after="120"/>
              <w:rPr>
                <w:rFonts w:eastAsia="Times New Roman" w:cs="Times New Roman"/>
                <w:szCs w:val="20"/>
              </w:rPr>
            </w:pPr>
            <w:r w:rsidRPr="00F82A18">
              <w:rPr>
                <w:rFonts w:eastAsia="Times New Roman" w:cs="Times New Roman"/>
                <w:szCs w:val="20"/>
                <w:highlight w:val="green"/>
              </w:rPr>
              <w:t>Agreement:</w:t>
            </w:r>
          </w:p>
          <w:p w14:paraId="06A998A5" w14:textId="77777777" w:rsidR="00F82A18" w:rsidRPr="00F82A18" w:rsidRDefault="00F82A18" w:rsidP="00F82A18">
            <w:pPr>
              <w:numPr>
                <w:ilvl w:val="0"/>
                <w:numId w:val="12"/>
              </w:numPr>
              <w:spacing w:after="120"/>
              <w:ind w:left="540"/>
              <w:textAlignment w:val="center"/>
              <w:rPr>
                <w:rFonts w:ascii="Calibri" w:eastAsia="Times New Roman" w:hAnsi="Calibri" w:cs="Calibri"/>
                <w:sz w:val="22"/>
              </w:rPr>
            </w:pPr>
            <w:r w:rsidRPr="00F82A18">
              <w:rPr>
                <w:rFonts w:eastAsia="Times New Roman" w:cs="Times New Roman"/>
                <w:sz w:val="21"/>
                <w:szCs w:val="21"/>
                <w:highlight w:val="green"/>
              </w:rPr>
              <w:t xml:space="preserve">Introduce one single UE capability for R19 </w:t>
            </w:r>
            <w:proofErr w:type="spellStart"/>
            <w:r w:rsidRPr="00F82A18">
              <w:rPr>
                <w:rFonts w:eastAsia="Times New Roman" w:cs="Times New Roman"/>
                <w:sz w:val="21"/>
                <w:szCs w:val="21"/>
                <w:highlight w:val="green"/>
              </w:rPr>
              <w:t>SCell</w:t>
            </w:r>
            <w:proofErr w:type="spellEnd"/>
            <w:r w:rsidRPr="00F82A18">
              <w:rPr>
                <w:rFonts w:eastAsia="Times New Roman" w:cs="Times New Roman"/>
                <w:sz w:val="21"/>
                <w:szCs w:val="21"/>
                <w:highlight w:val="green"/>
              </w:rPr>
              <w:t xml:space="preserve"> activation based on EMR, further discuss the detail. </w:t>
            </w:r>
          </w:p>
          <w:p w14:paraId="3351A019" w14:textId="77777777" w:rsidR="00F82A18" w:rsidRPr="00F82A18" w:rsidRDefault="00F82A18" w:rsidP="00F82A18">
            <w:pPr>
              <w:rPr>
                <w:rFonts w:eastAsiaTheme="majorEastAsia" w:cs="Times New Roman"/>
                <w:b/>
                <w:bCs/>
                <w:sz w:val="21"/>
                <w:szCs w:val="24"/>
                <w:u w:val="single"/>
                <w:lang w:eastAsia="ko-KR"/>
              </w:rPr>
            </w:pPr>
          </w:p>
        </w:tc>
      </w:tr>
    </w:tbl>
    <w:p w14:paraId="545D0EA6" w14:textId="77777777" w:rsidR="00F82A18" w:rsidRPr="00F82A18" w:rsidRDefault="00F82A18" w:rsidP="00F82A18">
      <w:pPr>
        <w:rPr>
          <w:rFonts w:eastAsiaTheme="majorEastAsia" w:cs="Times New Roman"/>
          <w:b/>
          <w:bCs/>
          <w:sz w:val="21"/>
          <w:szCs w:val="24"/>
          <w:u w:val="single"/>
          <w:lang w:val="en-US" w:eastAsia="ko-KR"/>
        </w:rPr>
      </w:pPr>
    </w:p>
    <w:p w14:paraId="1107D04C" w14:textId="77777777" w:rsidR="00F82A18" w:rsidRPr="00F82A18" w:rsidRDefault="00F82A18" w:rsidP="00F82A18">
      <w:pPr>
        <w:rPr>
          <w:rFonts w:eastAsiaTheme="majorEastAsia" w:cs="Times New Roman"/>
          <w:sz w:val="21"/>
          <w:szCs w:val="24"/>
          <w:lang w:val="en-US" w:eastAsia="ko-KR"/>
        </w:rPr>
      </w:pPr>
      <w:r w:rsidRPr="00F82A18">
        <w:rPr>
          <w:rFonts w:eastAsiaTheme="majorEastAsia" w:cs="Times New Roman"/>
          <w:sz w:val="21"/>
          <w:szCs w:val="24"/>
          <w:lang w:val="en-US" w:eastAsia="ko-KR"/>
        </w:rPr>
        <w:t xml:space="preserve">What is currently left open is the capability details. From the agreements it’s clear that both EMR and reselection capabilities need to be a pre-requisite. </w:t>
      </w:r>
    </w:p>
    <w:tbl>
      <w:tblPr>
        <w:tblStyle w:val="TableGrid1"/>
        <w:tblW w:w="0" w:type="auto"/>
        <w:tblLook w:val="04A0" w:firstRow="1" w:lastRow="0" w:firstColumn="1" w:lastColumn="0" w:noHBand="0" w:noVBand="1"/>
      </w:tblPr>
      <w:tblGrid>
        <w:gridCol w:w="9617"/>
      </w:tblGrid>
      <w:tr w:rsidR="00F82A18" w:rsidRPr="00F82A18" w14:paraId="47633C5F" w14:textId="77777777" w:rsidTr="009025DE">
        <w:tc>
          <w:tcPr>
            <w:tcW w:w="9617" w:type="dxa"/>
          </w:tcPr>
          <w:p w14:paraId="73CEACDA" w14:textId="77777777" w:rsidR="00F82A18" w:rsidRPr="00F82A18" w:rsidRDefault="00F82A18" w:rsidP="00F82A18">
            <w:pPr>
              <w:spacing w:after="120"/>
              <w:rPr>
                <w:rFonts w:eastAsia="Times New Roman" w:cs="Times New Roman"/>
                <w:szCs w:val="20"/>
              </w:rPr>
            </w:pPr>
            <w:r w:rsidRPr="00F82A18">
              <w:rPr>
                <w:rFonts w:eastAsia="Times New Roman" w:cs="Times New Roman"/>
                <w:i/>
                <w:iCs/>
                <w:szCs w:val="20"/>
              </w:rPr>
              <w:t>Agreement:</w:t>
            </w:r>
          </w:p>
          <w:p w14:paraId="5ACA1EB4" w14:textId="77777777" w:rsidR="00F82A18" w:rsidRPr="00F82A18" w:rsidRDefault="00F82A18" w:rsidP="00F82A18">
            <w:pPr>
              <w:numPr>
                <w:ilvl w:val="0"/>
                <w:numId w:val="13"/>
              </w:numPr>
              <w:spacing w:after="120"/>
              <w:ind w:left="288"/>
              <w:textAlignment w:val="center"/>
              <w:rPr>
                <w:rFonts w:ascii="Calibri" w:eastAsia="Times New Roman" w:hAnsi="Calibri" w:cs="Calibri"/>
                <w:sz w:val="22"/>
              </w:rPr>
            </w:pPr>
            <w:r w:rsidRPr="00F82A18">
              <w:rPr>
                <w:rFonts w:eastAsia="Times New Roman" w:cs="Times New Roman"/>
                <w:szCs w:val="20"/>
              </w:rPr>
              <w:t xml:space="preserve">The fast </w:t>
            </w:r>
            <w:proofErr w:type="spellStart"/>
            <w:r w:rsidRPr="00F82A18">
              <w:rPr>
                <w:rFonts w:eastAsia="Times New Roman" w:cs="Times New Roman"/>
                <w:szCs w:val="20"/>
              </w:rPr>
              <w:t>SCell</w:t>
            </w:r>
            <w:proofErr w:type="spellEnd"/>
            <w:r w:rsidRPr="00F82A18">
              <w:rPr>
                <w:rFonts w:eastAsia="Times New Roman" w:cs="Times New Roman"/>
                <w:szCs w:val="20"/>
              </w:rPr>
              <w:t xml:space="preserve"> activation delay requirements are defined for the case when </w:t>
            </w:r>
          </w:p>
          <w:p w14:paraId="1708D4CE" w14:textId="77777777" w:rsidR="00F82A18" w:rsidRPr="00F82A18" w:rsidRDefault="00F82A18" w:rsidP="00F82A18">
            <w:pPr>
              <w:numPr>
                <w:ilvl w:val="1"/>
                <w:numId w:val="13"/>
              </w:numPr>
              <w:spacing w:after="120"/>
              <w:ind w:left="1080"/>
              <w:textAlignment w:val="center"/>
              <w:rPr>
                <w:rFonts w:ascii="Calibri" w:eastAsia="Times New Roman" w:hAnsi="Calibri" w:cs="Calibri"/>
                <w:sz w:val="22"/>
              </w:rPr>
            </w:pPr>
            <w:r w:rsidRPr="00F82A18">
              <w:rPr>
                <w:rFonts w:eastAsia="Times New Roman" w:cs="Times New Roman"/>
                <w:szCs w:val="20"/>
              </w:rPr>
              <w:t xml:space="preserve">the UE supports Rel-18 </w:t>
            </w:r>
            <w:proofErr w:type="spellStart"/>
            <w:r w:rsidRPr="00F82A18">
              <w:rPr>
                <w:rFonts w:eastAsia="Times New Roman" w:cs="Times New Roman"/>
                <w:szCs w:val="20"/>
              </w:rPr>
              <w:t>eEMR</w:t>
            </w:r>
            <w:proofErr w:type="spellEnd"/>
            <w:r w:rsidRPr="00F82A18">
              <w:rPr>
                <w:rFonts w:eastAsia="Times New Roman" w:cs="Times New Roman"/>
                <w:szCs w:val="20"/>
              </w:rPr>
              <w:t xml:space="preserve">: </w:t>
            </w:r>
          </w:p>
          <w:p w14:paraId="48D8AE83" w14:textId="77777777" w:rsidR="00F82A18" w:rsidRPr="00F82A18" w:rsidRDefault="00F82A18" w:rsidP="00F82A18">
            <w:pPr>
              <w:numPr>
                <w:ilvl w:val="2"/>
                <w:numId w:val="13"/>
              </w:numPr>
              <w:spacing w:after="120"/>
              <w:ind w:left="1620"/>
              <w:textAlignment w:val="center"/>
              <w:rPr>
                <w:rFonts w:ascii="Calibri" w:eastAsia="Times New Roman" w:hAnsi="Calibri" w:cs="Calibri"/>
                <w:sz w:val="22"/>
              </w:rPr>
            </w:pPr>
            <w:r w:rsidRPr="00F82A18">
              <w:rPr>
                <w:rFonts w:eastAsia="Times New Roman" w:cs="Times New Roman"/>
                <w:szCs w:val="20"/>
              </w:rPr>
              <w:t xml:space="preserve">Including both EMR and cell reselection measurement, </w:t>
            </w:r>
          </w:p>
          <w:p w14:paraId="3BABC2F6" w14:textId="77777777" w:rsidR="00F82A18" w:rsidRPr="00F82A18" w:rsidRDefault="00F82A18" w:rsidP="00F82A18">
            <w:pPr>
              <w:rPr>
                <w:rFonts w:eastAsiaTheme="majorEastAsia" w:cs="Times New Roman"/>
                <w:sz w:val="21"/>
                <w:szCs w:val="24"/>
                <w:lang w:eastAsia="ko-KR"/>
              </w:rPr>
            </w:pPr>
          </w:p>
        </w:tc>
      </w:tr>
    </w:tbl>
    <w:p w14:paraId="450FDCA8" w14:textId="77777777" w:rsidR="00F82A18" w:rsidRPr="00F82A18" w:rsidRDefault="00F82A18" w:rsidP="00F82A18">
      <w:pPr>
        <w:rPr>
          <w:rFonts w:eastAsiaTheme="majorEastAsia" w:cs="Times New Roman"/>
          <w:sz w:val="21"/>
          <w:szCs w:val="24"/>
          <w:lang w:val="en-US" w:eastAsia="ko-KR"/>
        </w:rPr>
      </w:pPr>
    </w:p>
    <w:p w14:paraId="0C90F233" w14:textId="6A2C8EC9" w:rsidR="00F82A18" w:rsidRPr="00F82A18" w:rsidRDefault="00F82A18" w:rsidP="009025DE">
      <w:pPr>
        <w:pStyle w:val="RAN4proposal"/>
        <w:rPr>
          <w:lang w:val="en-US" w:eastAsia="ko-KR"/>
        </w:rPr>
      </w:pPr>
      <w:bookmarkStart w:id="10" w:name="_Toc210400639"/>
      <w:r w:rsidRPr="00F82A18">
        <w:rPr>
          <w:lang w:val="en-US" w:eastAsia="ko-KR"/>
        </w:rPr>
        <w:t xml:space="preserve">For Fast </w:t>
      </w:r>
      <w:proofErr w:type="spellStart"/>
      <w:r w:rsidRPr="00F82A18">
        <w:rPr>
          <w:lang w:val="en-US" w:eastAsia="ko-KR"/>
        </w:rPr>
        <w:t>Scell</w:t>
      </w:r>
      <w:proofErr w:type="spellEnd"/>
      <w:r w:rsidRPr="00F82A18">
        <w:rPr>
          <w:lang w:val="en-US" w:eastAsia="ko-KR"/>
        </w:rPr>
        <w:t xml:space="preserve"> with EMR capability, add both measValidationReportEMR-r18 and measValidationReportReselectionMeasurements-r18 as pre-requisite.</w:t>
      </w:r>
      <w:bookmarkEnd w:id="10"/>
      <w:r w:rsidRPr="00F82A18">
        <w:rPr>
          <w:lang w:val="en-US" w:eastAsia="ko-KR"/>
        </w:rPr>
        <w:t xml:space="preserve"> </w:t>
      </w:r>
    </w:p>
    <w:p w14:paraId="2FA847D9" w14:textId="77777777" w:rsidR="00F82A18" w:rsidRPr="00F82A18" w:rsidRDefault="00F82A18" w:rsidP="00F82A18">
      <w:pPr>
        <w:rPr>
          <w:lang w:val="en-US" w:eastAsia="ko-KR"/>
        </w:rPr>
      </w:pPr>
      <w:r w:rsidRPr="00F82A18">
        <w:rPr>
          <w:lang w:val="en-US" w:eastAsia="ko-KR"/>
        </w:rPr>
        <w:t xml:space="preserve">To be able to report SSB index in the measurement report, the following capability needs to be supported. </w:t>
      </w:r>
    </w:p>
    <w:tbl>
      <w:tblPr>
        <w:tblStyle w:val="TableGrid1"/>
        <w:tblW w:w="0" w:type="auto"/>
        <w:tblLook w:val="04A0" w:firstRow="1" w:lastRow="0" w:firstColumn="1" w:lastColumn="0" w:noHBand="0" w:noVBand="1"/>
      </w:tblPr>
      <w:tblGrid>
        <w:gridCol w:w="9617"/>
      </w:tblGrid>
      <w:tr w:rsidR="00F82A18" w:rsidRPr="00F82A18" w14:paraId="2C1ABD70" w14:textId="77777777" w:rsidTr="009025DE">
        <w:tc>
          <w:tcPr>
            <w:tcW w:w="9617" w:type="dxa"/>
          </w:tcPr>
          <w:p w14:paraId="65D927F2" w14:textId="77777777" w:rsidR="00F82A18" w:rsidRPr="00F82A18" w:rsidRDefault="00F82A18" w:rsidP="00F82A18">
            <w:pPr>
              <w:keepNext/>
              <w:keepLines/>
              <w:overflowPunct w:val="0"/>
              <w:autoSpaceDE w:val="0"/>
              <w:autoSpaceDN w:val="0"/>
              <w:adjustRightInd w:val="0"/>
              <w:textAlignment w:val="baseline"/>
              <w:rPr>
                <w:rFonts w:ascii="Arial" w:eastAsia="Times New Roman" w:hAnsi="Arial" w:cs="Times New Roman"/>
                <w:b/>
                <w:bCs/>
                <w:i/>
                <w:iCs/>
                <w:sz w:val="18"/>
                <w:szCs w:val="20"/>
                <w:lang w:eastAsia="zh-CN"/>
              </w:rPr>
            </w:pPr>
            <w:r w:rsidRPr="00F82A18">
              <w:rPr>
                <w:rFonts w:ascii="Arial" w:eastAsia="Times New Roman" w:hAnsi="Arial" w:cs="Times New Roman"/>
                <w:b/>
                <w:bCs/>
                <w:i/>
                <w:iCs/>
                <w:sz w:val="18"/>
                <w:szCs w:val="20"/>
                <w:lang w:eastAsia="zh-CN"/>
              </w:rPr>
              <w:t>idleInactiveNR-MeasBeamReport-r16</w:t>
            </w:r>
          </w:p>
          <w:p w14:paraId="56DE6021" w14:textId="77777777" w:rsidR="00F82A18" w:rsidRPr="00F82A18" w:rsidRDefault="00F82A18" w:rsidP="00F82A18">
            <w:pPr>
              <w:rPr>
                <w:lang w:val="en-US" w:eastAsia="ko-KR"/>
              </w:rPr>
            </w:pPr>
            <w:r w:rsidRPr="00F82A18">
              <w:t xml:space="preserve">Indicates whether the UE supports beam level measurements in RRC_IDLE/RRC_INACTIVE and reporting of the corresponding beam measurement results upon network request as specified in TS 38.331 [9]. A UE supports this feature shall also support </w:t>
            </w:r>
            <w:r w:rsidRPr="00F82A18">
              <w:rPr>
                <w:i/>
              </w:rPr>
              <w:t>idleInactiveNR-MeasReport-r16</w:t>
            </w:r>
            <w:r w:rsidRPr="00F82A18">
              <w:t>. If this parameter is indicated for FR1 and FR2 differently, each indication corresponds to the frequency range of measured target cell.</w:t>
            </w:r>
          </w:p>
        </w:tc>
      </w:tr>
    </w:tbl>
    <w:p w14:paraId="18E2374C" w14:textId="77777777" w:rsidR="00F82A18" w:rsidRPr="00F82A18" w:rsidRDefault="00F82A18" w:rsidP="00F82A18">
      <w:pPr>
        <w:rPr>
          <w:lang w:val="en-US" w:eastAsia="ko-KR"/>
        </w:rPr>
      </w:pPr>
    </w:p>
    <w:p w14:paraId="39702EA2" w14:textId="77777777" w:rsidR="00F82A18" w:rsidRPr="00F82A18" w:rsidRDefault="00F82A18" w:rsidP="00F82A18">
      <w:pPr>
        <w:rPr>
          <w:lang w:val="en-US" w:eastAsia="ko-KR"/>
        </w:rPr>
      </w:pPr>
      <w:r w:rsidRPr="00F82A18">
        <w:rPr>
          <w:lang w:val="en-US" w:eastAsia="ko-KR"/>
        </w:rPr>
        <w:t xml:space="preserve">The following is specified: </w:t>
      </w:r>
    </w:p>
    <w:tbl>
      <w:tblPr>
        <w:tblStyle w:val="TableGrid1"/>
        <w:tblW w:w="0" w:type="auto"/>
        <w:tblLook w:val="04A0" w:firstRow="1" w:lastRow="0" w:firstColumn="1" w:lastColumn="0" w:noHBand="0" w:noVBand="1"/>
      </w:tblPr>
      <w:tblGrid>
        <w:gridCol w:w="9617"/>
      </w:tblGrid>
      <w:tr w:rsidR="00F82A18" w:rsidRPr="00F82A18" w14:paraId="71C6A73D" w14:textId="77777777" w:rsidTr="009025DE">
        <w:tc>
          <w:tcPr>
            <w:tcW w:w="9617" w:type="dxa"/>
          </w:tcPr>
          <w:p w14:paraId="1FB9D665" w14:textId="77777777" w:rsidR="00F82A18" w:rsidRPr="00F82A18" w:rsidRDefault="00F82A18" w:rsidP="00F82A18">
            <w:pPr>
              <w:overflowPunct w:val="0"/>
              <w:autoSpaceDE w:val="0"/>
              <w:autoSpaceDN w:val="0"/>
              <w:adjustRightInd w:val="0"/>
              <w:spacing w:after="180"/>
              <w:textAlignment w:val="baseline"/>
              <w:rPr>
                <w:rFonts w:eastAsiaTheme="minorEastAsia" w:cs="Times New Roman"/>
                <w:szCs w:val="20"/>
              </w:rPr>
            </w:pPr>
            <w:r w:rsidRPr="00F82A18">
              <w:rPr>
                <w:rFonts w:eastAsiaTheme="minorEastAsia" w:cs="Times New Roman"/>
                <w:szCs w:val="20"/>
              </w:rPr>
              <w:t>38.133</w:t>
            </w:r>
          </w:p>
          <w:p w14:paraId="3762967E" w14:textId="77777777" w:rsidR="00F82A18" w:rsidRPr="00F82A18" w:rsidRDefault="00F82A18" w:rsidP="00F82A18">
            <w:pPr>
              <w:overflowPunct w:val="0"/>
              <w:autoSpaceDE w:val="0"/>
              <w:autoSpaceDN w:val="0"/>
              <w:adjustRightInd w:val="0"/>
              <w:spacing w:after="180"/>
              <w:ind w:left="568"/>
              <w:textAlignment w:val="baseline"/>
              <w:rPr>
                <w:rFonts w:eastAsia="Times New Roman" w:cs="Times New Roman"/>
                <w:szCs w:val="20"/>
                <w:lang w:eastAsia="zh-CN"/>
              </w:rPr>
            </w:pPr>
            <w:r w:rsidRPr="00F82A18">
              <w:rPr>
                <w:rFonts w:eastAsiaTheme="minorEastAsia" w:cs="Times New Roman"/>
                <w:szCs w:val="20"/>
              </w:rPr>
              <w:lastRenderedPageBreak/>
              <w:t xml:space="preserve">If the </w:t>
            </w:r>
            <w:proofErr w:type="spellStart"/>
            <w:r w:rsidRPr="00F82A18">
              <w:rPr>
                <w:rFonts w:eastAsiaTheme="minorEastAsia" w:cs="Times New Roman"/>
                <w:szCs w:val="20"/>
              </w:rPr>
              <w:t>SCell</w:t>
            </w:r>
            <w:proofErr w:type="spellEnd"/>
            <w:r w:rsidRPr="00F82A18">
              <w:rPr>
                <w:rFonts w:eastAsiaTheme="minorEastAsia" w:cs="Times New Roman"/>
                <w:szCs w:val="20"/>
              </w:rPr>
              <w:t xml:space="preserve"> belongs to FR1</w:t>
            </w:r>
            <w:r w:rsidRPr="00F82A18">
              <w:rPr>
                <w:rFonts w:eastAsia="Times New Roman" w:cs="v4.2.0" w:hint="eastAsia"/>
                <w:szCs w:val="20"/>
                <w:lang w:eastAsia="zh-CN"/>
              </w:rPr>
              <w:t>,</w:t>
            </w:r>
            <w:r w:rsidRPr="00F82A18">
              <w:rPr>
                <w:rFonts w:eastAsia="Times New Roman" w:cs="Times New Roman" w:hint="eastAsia"/>
                <w:szCs w:val="20"/>
                <w:lang w:eastAsia="zh-CN"/>
              </w:rPr>
              <w:t xml:space="preserve"> </w:t>
            </w:r>
            <w:proofErr w:type="spellStart"/>
            <w:r w:rsidRPr="00F82A18">
              <w:rPr>
                <w:rFonts w:eastAsia="Times New Roman" w:cs="Times New Roman"/>
                <w:szCs w:val="20"/>
                <w:lang w:val="en-US" w:eastAsia="zh-CN"/>
              </w:rPr>
              <w:t>T</w:t>
            </w:r>
            <w:r w:rsidRPr="00F82A18">
              <w:rPr>
                <w:rFonts w:eastAsia="Times New Roman" w:cs="Times New Roman"/>
                <w:szCs w:val="20"/>
                <w:vertAlign w:val="subscript"/>
                <w:lang w:val="en-US" w:eastAsia="zh-CN"/>
              </w:rPr>
              <w:t>activation_time</w:t>
            </w:r>
            <w:proofErr w:type="spellEnd"/>
            <w:r w:rsidRPr="00F82A18">
              <w:rPr>
                <w:rFonts w:eastAsia="Times New Roman" w:cs="Times New Roman"/>
                <w:szCs w:val="20"/>
                <w:lang w:val="en-US" w:eastAsia="zh-CN"/>
              </w:rPr>
              <w:t xml:space="preserve"> is</w:t>
            </w:r>
            <w:r w:rsidRPr="00F82A18">
              <w:rPr>
                <w:rFonts w:eastAsia="Times New Roman" w:cs="Times New Roman"/>
                <w:szCs w:val="20"/>
              </w:rPr>
              <w:t xml:space="preserve"> </w:t>
            </w:r>
            <w:proofErr w:type="spellStart"/>
            <w:r w:rsidRPr="00F82A18">
              <w:rPr>
                <w:rFonts w:eastAsia="Times New Roman" w:cs="Times New Roman"/>
                <w:szCs w:val="20"/>
                <w:lang w:eastAsia="zh-CN"/>
              </w:rPr>
              <w:t>T</w:t>
            </w:r>
            <w:r w:rsidRPr="00F82A18">
              <w:rPr>
                <w:rFonts w:eastAsia="Times New Roman" w:cs="Times New Roman"/>
                <w:szCs w:val="20"/>
                <w:vertAlign w:val="subscript"/>
                <w:lang w:eastAsia="zh-CN"/>
              </w:rPr>
              <w:t>FirstSSB_MAX</w:t>
            </w:r>
            <w:proofErr w:type="spellEnd"/>
            <w:r w:rsidRPr="00F82A18">
              <w:rPr>
                <w:rFonts w:eastAsia="Times New Roman" w:cs="Times New Roman"/>
                <w:szCs w:val="20"/>
              </w:rPr>
              <w:t xml:space="preserve"> + </w:t>
            </w:r>
            <w:proofErr w:type="spellStart"/>
            <w:r w:rsidRPr="00F82A18">
              <w:rPr>
                <w:rFonts w:eastAsia="Times New Roman" w:cs="Times New Roman"/>
                <w:szCs w:val="20"/>
              </w:rPr>
              <w:t>T</w:t>
            </w:r>
            <w:r w:rsidRPr="00F82A18">
              <w:rPr>
                <w:rFonts w:eastAsia="Times New Roman" w:cs="Times New Roman"/>
                <w:szCs w:val="20"/>
                <w:vertAlign w:val="subscript"/>
              </w:rPr>
              <w:t>rs</w:t>
            </w:r>
            <w:proofErr w:type="spellEnd"/>
            <w:r w:rsidRPr="00F82A18">
              <w:rPr>
                <w:rFonts w:eastAsia="Times New Roman" w:cs="Times New Roman"/>
                <w:szCs w:val="20"/>
              </w:rPr>
              <w:t xml:space="preserve"> + 5ms</w:t>
            </w:r>
            <w:r w:rsidRPr="00F82A18">
              <w:rPr>
                <w:rFonts w:eastAsia="Times New Roman" w:cs="Times New Roman" w:hint="eastAsia"/>
                <w:szCs w:val="20"/>
                <w:lang w:eastAsia="zh-CN"/>
              </w:rPr>
              <w:t xml:space="preserve"> </w:t>
            </w:r>
            <w:r w:rsidRPr="00F82A18">
              <w:rPr>
                <w:rFonts w:eastAsia="Calibri" w:cs="Times New Roman"/>
                <w:szCs w:val="20"/>
              </w:rPr>
              <w:t xml:space="preserve">provided that the side condition </w:t>
            </w:r>
            <w:proofErr w:type="spellStart"/>
            <w:r w:rsidRPr="00F82A18">
              <w:rPr>
                <w:rFonts w:eastAsia="Times New Roman" w:cs="v4.2.0"/>
                <w:szCs w:val="20"/>
              </w:rPr>
              <w:t>Ês</w:t>
            </w:r>
            <w:proofErr w:type="spellEnd"/>
            <w:r w:rsidRPr="00F82A18">
              <w:rPr>
                <w:rFonts w:eastAsia="Times New Roman" w:cs="v4.2.0"/>
                <w:szCs w:val="20"/>
              </w:rPr>
              <w:t>/</w:t>
            </w:r>
            <w:proofErr w:type="spellStart"/>
            <w:r w:rsidRPr="00F82A18">
              <w:rPr>
                <w:rFonts w:eastAsia="Times New Roman" w:cs="v4.2.0"/>
                <w:szCs w:val="20"/>
              </w:rPr>
              <w:t>Iot</w:t>
            </w:r>
            <w:proofErr w:type="spellEnd"/>
            <w:r w:rsidRPr="00F82A18">
              <w:rPr>
                <w:rFonts w:eastAsia="Times New Roman" w:cs="v4.2.0"/>
                <w:szCs w:val="20"/>
              </w:rPr>
              <w:t xml:space="preserve"> </w:t>
            </w:r>
            <w:r w:rsidRPr="00F82A18">
              <w:rPr>
                <w:rFonts w:eastAsia="Times New Roman" w:cs="Times New Roman"/>
                <w:szCs w:val="20"/>
              </w:rPr>
              <w:t xml:space="preserve">≥ </w:t>
            </w:r>
            <w:r w:rsidRPr="00F82A18">
              <w:rPr>
                <w:rFonts w:eastAsia="Times New Roman" w:cs="v4.2.0"/>
                <w:szCs w:val="20"/>
              </w:rPr>
              <w:t>-2dB is fulfilled</w:t>
            </w:r>
            <w:r w:rsidRPr="00F82A18">
              <w:rPr>
                <w:rFonts w:eastAsia="Times New Roman" w:cs="Times New Roman" w:hint="eastAsia"/>
                <w:szCs w:val="20"/>
                <w:lang w:eastAsia="zh-CN"/>
              </w:rPr>
              <w:t>,</w:t>
            </w:r>
            <w:r w:rsidRPr="00F82A18">
              <w:rPr>
                <w:rFonts w:eastAsia="Times New Roman" w:cs="Times New Roman"/>
                <w:szCs w:val="20"/>
                <w:lang w:eastAsia="zh-CN"/>
              </w:rPr>
              <w:t xml:space="preserve"> </w:t>
            </w:r>
            <w:r w:rsidRPr="00F82A18">
              <w:rPr>
                <w:rFonts w:eastAsia="Times New Roman" w:cs="Times New Roman"/>
                <w:szCs w:val="20"/>
              </w:rPr>
              <w:t>if the following conditions</w:t>
            </w:r>
            <w:r w:rsidRPr="00F82A18">
              <w:rPr>
                <w:rFonts w:eastAsia="Times New Roman" w:cs="Times New Roman" w:hint="eastAsia"/>
                <w:szCs w:val="20"/>
                <w:lang w:eastAsia="zh-CN"/>
              </w:rPr>
              <w:t xml:space="preserve"> are met</w:t>
            </w:r>
            <w:r w:rsidRPr="00F82A18">
              <w:rPr>
                <w:rFonts w:eastAsia="Times New Roman" w:cs="Times New Roman"/>
                <w:szCs w:val="20"/>
              </w:rPr>
              <w:t>:</w:t>
            </w:r>
          </w:p>
          <w:p w14:paraId="5C342348" w14:textId="77777777" w:rsidR="00F82A18" w:rsidRPr="00F82A18" w:rsidRDefault="00F82A18" w:rsidP="00F82A18">
            <w:pPr>
              <w:overflowPunct w:val="0"/>
              <w:autoSpaceDE w:val="0"/>
              <w:autoSpaceDN w:val="0"/>
              <w:adjustRightInd w:val="0"/>
              <w:spacing w:after="180"/>
              <w:ind w:leftChars="400" w:left="1084" w:hanging="284"/>
              <w:textAlignment w:val="baseline"/>
              <w:rPr>
                <w:rFonts w:eastAsia="Times New Roman" w:cs="Times New Roman"/>
                <w:szCs w:val="20"/>
              </w:rPr>
            </w:pPr>
            <w:r w:rsidRPr="00F82A18">
              <w:rPr>
                <w:rFonts w:eastAsia="Times New Roman" w:cs="Times New Roman"/>
                <w:szCs w:val="20"/>
              </w:rPr>
              <w:t>-</w:t>
            </w:r>
            <w:r w:rsidRPr="00F82A18">
              <w:rPr>
                <w:rFonts w:eastAsia="Times New Roman" w:cs="Times New Roman"/>
                <w:szCs w:val="20"/>
              </w:rPr>
              <w:tab/>
              <w:t>During the period equal to 5</w:t>
            </w:r>
            <w:r w:rsidRPr="00F82A18">
              <w:rPr>
                <w:rFonts w:eastAsia="Times New Roman" w:cs="Times New Roman" w:hint="eastAsia"/>
                <w:szCs w:val="20"/>
                <w:lang w:eastAsia="zh-CN"/>
              </w:rPr>
              <w:t>s</w:t>
            </w:r>
            <w:r w:rsidRPr="00F82A18">
              <w:rPr>
                <w:rFonts w:eastAsia="Times New Roman" w:cs="Times New Roman"/>
                <w:szCs w:val="20"/>
              </w:rPr>
              <w:t xml:space="preserve"> for FR1 before the reception of the </w:t>
            </w:r>
            <w:proofErr w:type="spellStart"/>
            <w:r w:rsidRPr="00F82A18">
              <w:rPr>
                <w:rFonts w:eastAsia="Times New Roman" w:cs="Times New Roman"/>
                <w:szCs w:val="20"/>
              </w:rPr>
              <w:t>SCell</w:t>
            </w:r>
            <w:proofErr w:type="spellEnd"/>
            <w:r w:rsidRPr="00F82A18">
              <w:rPr>
                <w:rFonts w:eastAsia="Times New Roman" w:cs="Times New Roman"/>
                <w:szCs w:val="20"/>
              </w:rPr>
              <w:t xml:space="preserve"> activation command:</w:t>
            </w:r>
          </w:p>
          <w:p w14:paraId="573A743F" w14:textId="77777777" w:rsidR="00F82A18" w:rsidRPr="00F82A18" w:rsidRDefault="00F82A18" w:rsidP="00F82A18">
            <w:pPr>
              <w:overflowPunct w:val="0"/>
              <w:autoSpaceDE w:val="0"/>
              <w:autoSpaceDN w:val="0"/>
              <w:adjustRightInd w:val="0"/>
              <w:spacing w:after="180"/>
              <w:ind w:left="1115"/>
              <w:textAlignment w:val="baseline"/>
              <w:rPr>
                <w:rFonts w:eastAsia="Times New Roman" w:cs="Times New Roman"/>
                <w:szCs w:val="20"/>
                <w:lang w:eastAsia="zh-CN"/>
              </w:rPr>
            </w:pPr>
            <w:r w:rsidRPr="00F82A18">
              <w:rPr>
                <w:rFonts w:eastAsia="Times New Roman" w:cs="Times New Roman"/>
                <w:szCs w:val="20"/>
              </w:rPr>
              <w:t>-</w:t>
            </w:r>
            <w:r w:rsidRPr="00F82A18">
              <w:rPr>
                <w:rFonts w:eastAsia="Times New Roman" w:cs="Times New Roman"/>
                <w:szCs w:val="20"/>
              </w:rPr>
              <w:tab/>
            </w:r>
            <w:r w:rsidRPr="00F82A18">
              <w:rPr>
                <w:rFonts w:eastAsia="Times New Roman" w:cs="Times New Roman"/>
                <w:szCs w:val="20"/>
                <w:highlight w:val="yellow"/>
              </w:rPr>
              <w:t>the UE has sent a</w:t>
            </w:r>
            <w:r w:rsidRPr="00F82A18">
              <w:rPr>
                <w:rFonts w:eastAsia="Times New Roman" w:cs="Times New Roman" w:hint="eastAsia"/>
                <w:szCs w:val="20"/>
                <w:highlight w:val="yellow"/>
                <w:lang w:val="en-US" w:eastAsia="zh-CN"/>
              </w:rPr>
              <w:t xml:space="preserve"> measurement</w:t>
            </w:r>
            <w:r w:rsidRPr="00F82A18">
              <w:rPr>
                <w:rFonts w:eastAsia="Times New Roman" w:cs="Times New Roman"/>
                <w:szCs w:val="20"/>
                <w:highlight w:val="yellow"/>
              </w:rPr>
              <w:t xml:space="preserve"> report</w:t>
            </w:r>
            <w:r w:rsidRPr="00F82A18">
              <w:rPr>
                <w:rFonts w:eastAsia="Times New Roman" w:cs="Times New Roman" w:hint="eastAsia"/>
                <w:szCs w:val="20"/>
                <w:highlight w:val="yellow"/>
                <w:lang w:val="en-US" w:eastAsia="zh-CN"/>
              </w:rPr>
              <w:t xml:space="preserve"> </w:t>
            </w:r>
            <w:r w:rsidRPr="00F82A18">
              <w:rPr>
                <w:rFonts w:eastAsia="Times New Roman" w:cs="Times New Roman"/>
                <w:szCs w:val="20"/>
                <w:highlight w:val="yellow"/>
              </w:rPr>
              <w:t>with</w:t>
            </w:r>
            <w:r w:rsidRPr="00F82A18">
              <w:rPr>
                <w:rFonts w:eastAsia="Times New Roman" w:cs="Times New Roman" w:hint="eastAsia"/>
                <w:szCs w:val="20"/>
                <w:highlight w:val="yellow"/>
                <w:lang w:val="en-US" w:eastAsia="zh-CN"/>
              </w:rPr>
              <w:t xml:space="preserve"> </w:t>
            </w:r>
            <w:r w:rsidRPr="00F82A18">
              <w:rPr>
                <w:rFonts w:eastAsia="Times New Roman" w:cs="Times New Roman" w:hint="eastAsia"/>
                <w:szCs w:val="20"/>
                <w:highlight w:val="yellow"/>
                <w:lang w:eastAsia="zh-CN"/>
              </w:rPr>
              <w:t>SSB index</w:t>
            </w:r>
            <w:r w:rsidRPr="00F82A18">
              <w:rPr>
                <w:rFonts w:eastAsia="Times New Roman" w:cs="Times New Roman" w:hint="eastAsia"/>
                <w:szCs w:val="20"/>
                <w:highlight w:val="yellow"/>
                <w:lang w:val="en-US" w:eastAsia="zh-CN"/>
              </w:rPr>
              <w:t xml:space="preserve"> </w:t>
            </w:r>
            <w:r w:rsidRPr="00F82A18">
              <w:rPr>
                <w:rFonts w:eastAsia="Times New Roman" w:cs="Times New Roman"/>
                <w:szCs w:val="20"/>
                <w:highlight w:val="yellow"/>
              </w:rPr>
              <w:t>according</w:t>
            </w:r>
            <w:r w:rsidRPr="00F82A18">
              <w:rPr>
                <w:rFonts w:eastAsia="Times New Roman" w:cs="Times New Roman"/>
                <w:szCs w:val="20"/>
              </w:rPr>
              <w:t xml:space="preserve"> to the reporting requirements in 4.7.3 or 5.8.3</w:t>
            </w:r>
            <w:r w:rsidRPr="00F82A18">
              <w:rPr>
                <w:rFonts w:eastAsia="Times New Roman" w:cs="Times New Roman" w:hint="eastAsia"/>
                <w:szCs w:val="20"/>
                <w:lang w:eastAsia="zh-CN"/>
              </w:rPr>
              <w:t xml:space="preserve">. </w:t>
            </w:r>
          </w:p>
          <w:p w14:paraId="788A6EB9" w14:textId="77777777" w:rsidR="00F82A18" w:rsidRPr="00F82A18" w:rsidRDefault="00F82A18" w:rsidP="00F82A18">
            <w:pPr>
              <w:rPr>
                <w:lang w:eastAsia="ko-KR"/>
              </w:rPr>
            </w:pPr>
          </w:p>
        </w:tc>
      </w:tr>
    </w:tbl>
    <w:p w14:paraId="6D0ACF0F" w14:textId="77777777" w:rsidR="00F82A18" w:rsidRPr="00F82A18" w:rsidRDefault="00F82A18" w:rsidP="00F82A18">
      <w:pPr>
        <w:rPr>
          <w:lang w:val="en-US" w:eastAsia="ko-KR"/>
        </w:rPr>
      </w:pPr>
    </w:p>
    <w:p w14:paraId="1D4C1ABC" w14:textId="0781C799" w:rsidR="00172A4F" w:rsidRDefault="009025DE">
      <w:pPr>
        <w:pStyle w:val="RAN4proposal"/>
      </w:pPr>
      <w:bookmarkStart w:id="11" w:name="_Toc210400640"/>
      <w:r w:rsidRPr="006471EA">
        <w:rPr>
          <w:lang w:val="en-US" w:eastAsia="ko-KR"/>
        </w:rPr>
        <w:t xml:space="preserve">For Fast </w:t>
      </w:r>
      <w:proofErr w:type="spellStart"/>
      <w:r w:rsidRPr="006471EA">
        <w:rPr>
          <w:lang w:val="en-US" w:eastAsia="ko-KR"/>
        </w:rPr>
        <w:t>Scell</w:t>
      </w:r>
      <w:proofErr w:type="spellEnd"/>
      <w:r w:rsidRPr="006471EA">
        <w:rPr>
          <w:lang w:val="en-US" w:eastAsia="ko-KR"/>
        </w:rPr>
        <w:t xml:space="preserve"> with EMR capability, </w:t>
      </w:r>
      <w:r w:rsidRPr="006471EA">
        <w:rPr>
          <w:lang w:val="en-US"/>
        </w:rPr>
        <w:t>a</w:t>
      </w:r>
      <w:r w:rsidR="00F82A18" w:rsidRPr="00F82A18">
        <w:t>dd idleInactiveNR-MeasBeamReport-r16 as pre-requisite for the capability for FR1 and FR2.</w:t>
      </w:r>
      <w:bookmarkEnd w:id="11"/>
      <w:r w:rsidR="00F82A18" w:rsidRPr="00F82A18">
        <w:t xml:space="preserve"> </w:t>
      </w:r>
    </w:p>
    <w:p w14:paraId="71A7EB3C" w14:textId="77777777" w:rsidR="006471EA" w:rsidRPr="006471EA" w:rsidRDefault="006471EA" w:rsidP="006471EA"/>
    <w:p w14:paraId="5757AA7B" w14:textId="77777777" w:rsidR="00381F95" w:rsidRPr="008F786B" w:rsidRDefault="00CD7492" w:rsidP="00936159">
      <w:pPr>
        <w:pStyle w:val="RAN4H1"/>
      </w:pPr>
      <w:r w:rsidRPr="008F786B">
        <w:t>Conclusion</w:t>
      </w:r>
      <w:bookmarkEnd w:id="9"/>
    </w:p>
    <w:p w14:paraId="59341683" w14:textId="77777777" w:rsidR="00381F95" w:rsidRPr="008F786B" w:rsidRDefault="00381F95" w:rsidP="00936159">
      <w:r w:rsidRPr="008F786B">
        <w:t>T</w:t>
      </w:r>
      <w:r w:rsidR="005B4801" w:rsidRPr="008F786B">
        <w:t xml:space="preserve">he following Observations </w:t>
      </w:r>
      <w:r w:rsidR="008B0961" w:rsidRPr="008F786B">
        <w:t>and</w:t>
      </w:r>
      <w:r w:rsidR="005B4801" w:rsidRPr="008F786B">
        <w:t xml:space="preserve"> Proposals were made:</w:t>
      </w:r>
    </w:p>
    <w:p w14:paraId="6DC056A9" w14:textId="77777777" w:rsidR="00F37AD4" w:rsidRDefault="00A4355E">
      <w:pPr>
        <w:pStyle w:val="TOC5"/>
        <w:tabs>
          <w:tab w:val="right" w:leader="dot" w:pos="9617"/>
        </w:tabs>
        <w:rPr>
          <w:rFonts w:asciiTheme="minorHAnsi" w:eastAsiaTheme="minorEastAsia" w:hAnsiTheme="minorHAnsi"/>
          <w:b w:val="0"/>
          <w:noProof/>
          <w:kern w:val="2"/>
          <w:sz w:val="24"/>
          <w:szCs w:val="24"/>
          <w:lang w:eastAsia="en-GB"/>
          <w14:ligatures w14:val="standardContextual"/>
        </w:rPr>
      </w:pPr>
      <w:r w:rsidRPr="008F786B">
        <w:rPr>
          <w:i/>
          <w:iCs/>
          <w:u w:val="single"/>
        </w:rPr>
        <w:fldChar w:fldCharType="begin"/>
      </w:r>
      <w:r w:rsidRPr="008F786B">
        <w:rPr>
          <w:i/>
          <w:iCs/>
          <w:u w:val="single"/>
        </w:rPr>
        <w:instrText xml:space="preserve"> TOC \n \h \z \t "RAN4 proposal,5,RAN4 observation,4" </w:instrText>
      </w:r>
      <w:r w:rsidRPr="008F786B">
        <w:rPr>
          <w:i/>
          <w:iCs/>
          <w:u w:val="single"/>
        </w:rPr>
        <w:fldChar w:fldCharType="separate"/>
      </w:r>
      <w:hyperlink w:anchor="_Toc210400634" w:history="1">
        <w:r w:rsidR="00F37AD4" w:rsidRPr="00724AD9">
          <w:rPr>
            <w:rStyle w:val="Hyperlink"/>
            <w:noProof/>
          </w:rPr>
          <w:t>Proposal 1: After timer expiration, if the FBS condition stops being met and is met again, the UE shall re-enter FBS. This is already covered and has no specification impact.</w:t>
        </w:r>
      </w:hyperlink>
    </w:p>
    <w:p w14:paraId="06C98F34" w14:textId="77777777" w:rsidR="00F37AD4" w:rsidRDefault="00F37AD4">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210400635" w:history="1">
        <w:r w:rsidRPr="00724AD9">
          <w:rPr>
            <w:rStyle w:val="Hyperlink"/>
            <w:noProof/>
          </w:rPr>
          <w:t>Proposal 2: After timer expiration, if the FBS condition continues to be met, we prefer not to define a re-entry condition for FBS, but if a rule for re-entry to FBS is needed, a second signal level based threshold would be more useful than defining a second timer.</w:t>
        </w:r>
      </w:hyperlink>
    </w:p>
    <w:p w14:paraId="7D877077" w14:textId="77777777" w:rsidR="00F37AD4" w:rsidRDefault="00F37AD4">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210400636" w:history="1">
        <w:r w:rsidRPr="00724AD9">
          <w:rPr>
            <w:rStyle w:val="Hyperlink"/>
            <w:b/>
            <w:noProof/>
          </w:rPr>
          <w:t>Observation 1:</w:t>
        </w:r>
        <w:r w:rsidRPr="00724AD9">
          <w:rPr>
            <w:rStyle w:val="Hyperlink"/>
            <w:noProof/>
          </w:rPr>
          <w:t xml:space="preserve"> Existing measurement delay requirements consider different measurement delay for each measurement object.</w:t>
        </w:r>
      </w:hyperlink>
    </w:p>
    <w:p w14:paraId="4FF2765F" w14:textId="77777777" w:rsidR="00F37AD4" w:rsidRDefault="00F37AD4">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210400637" w:history="1">
        <w:r w:rsidRPr="00724AD9">
          <w:rPr>
            <w:rStyle w:val="Hyperlink"/>
            <w:noProof/>
          </w:rPr>
          <w:t>Proposal 3: When multiple bands are involved, the measurement requirement is calculated as in legacy requirements, i.e. per measurement object.</w:t>
        </w:r>
      </w:hyperlink>
    </w:p>
    <w:p w14:paraId="23B3FF24" w14:textId="77777777" w:rsidR="00F37AD4" w:rsidRDefault="00F37AD4">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210400638" w:history="1">
        <w:r w:rsidRPr="00724AD9">
          <w:rPr>
            <w:rStyle w:val="Hyperlink"/>
            <w:noProof/>
          </w:rPr>
          <w:t>Proposal 4: FBS applies for inter-frequency measurement with per-FR measurement gap.</w:t>
        </w:r>
      </w:hyperlink>
    </w:p>
    <w:p w14:paraId="4B4FDFBE" w14:textId="77777777" w:rsidR="00F37AD4" w:rsidRDefault="00F37AD4">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210400639" w:history="1">
        <w:r w:rsidRPr="00724AD9">
          <w:rPr>
            <w:rStyle w:val="Hyperlink"/>
            <w:noProof/>
            <w:lang w:val="en-US" w:eastAsia="ko-KR"/>
          </w:rPr>
          <w:t>Proposal 5: For Fast Scell with EMR capability, add both measValidationReportEMR-r18 and measValidationReportReselectionMeasurements-r18 as pre-requisite.</w:t>
        </w:r>
      </w:hyperlink>
    </w:p>
    <w:p w14:paraId="524769CB" w14:textId="77777777" w:rsidR="00F37AD4" w:rsidRDefault="00F37AD4">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210400640" w:history="1">
        <w:r w:rsidRPr="00724AD9">
          <w:rPr>
            <w:rStyle w:val="Hyperlink"/>
            <w:noProof/>
          </w:rPr>
          <w:t>Proposal 6:</w:t>
        </w:r>
        <w:r w:rsidRPr="00724AD9">
          <w:rPr>
            <w:rStyle w:val="Hyperlink"/>
            <w:noProof/>
            <w:lang w:val="en-US" w:eastAsia="ko-KR"/>
          </w:rPr>
          <w:t xml:space="preserve"> For Fast Scell with EMR capability, </w:t>
        </w:r>
        <w:r w:rsidRPr="00724AD9">
          <w:rPr>
            <w:rStyle w:val="Hyperlink"/>
            <w:noProof/>
            <w:lang w:val="en-US"/>
          </w:rPr>
          <w:t>a</w:t>
        </w:r>
        <w:r w:rsidRPr="00724AD9">
          <w:rPr>
            <w:rStyle w:val="Hyperlink"/>
            <w:noProof/>
          </w:rPr>
          <w:t>dd idleInactiveNR-MeasBeamReport-r16 as pre-requisite for the capability for FR1 and FR2.</w:t>
        </w:r>
      </w:hyperlink>
    </w:p>
    <w:p w14:paraId="0D4C125B" w14:textId="18B26E8F" w:rsidR="00E82B94" w:rsidRPr="008F786B" w:rsidRDefault="00A4355E" w:rsidP="00885EBF">
      <w:r w:rsidRPr="008F786B">
        <w:fldChar w:fldCharType="end"/>
      </w:r>
    </w:p>
    <w:p w14:paraId="3A68D42C" w14:textId="77777777" w:rsidR="00E43BF9" w:rsidRPr="008F786B" w:rsidRDefault="00E43BF9" w:rsidP="00E43BF9">
      <w:pPr>
        <w:ind w:right="-22"/>
      </w:pPr>
    </w:p>
    <w:sectPr w:rsidR="00E43BF9"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905A55" w14:textId="77777777" w:rsidR="00834432" w:rsidRDefault="00834432" w:rsidP="00001C9B">
      <w:pPr>
        <w:spacing w:after="0" w:line="240" w:lineRule="auto"/>
      </w:pPr>
      <w:r>
        <w:separator/>
      </w:r>
    </w:p>
  </w:endnote>
  <w:endnote w:type="continuationSeparator" w:id="0">
    <w:p w14:paraId="64E2CAA6" w14:textId="77777777" w:rsidR="00834432" w:rsidRDefault="00834432" w:rsidP="00001C9B">
      <w:pPr>
        <w:spacing w:after="0" w:line="240" w:lineRule="auto"/>
      </w:pPr>
      <w:r>
        <w:continuationSeparator/>
      </w:r>
    </w:p>
  </w:endnote>
  <w:endnote w:type="continuationNotice" w:id="1">
    <w:p w14:paraId="6CAF67F2" w14:textId="77777777" w:rsidR="00834432" w:rsidRDefault="0083443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SimSun-ExtG">
    <w:charset w:val="86"/>
    <w:family w:val="modern"/>
    <w:pitch w:val="fixed"/>
    <w:sig w:usb0="00000003" w:usb1="0A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v4.2.0">
    <w:altName w:val="Microsoft YaHe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CB7B4E" w14:textId="77777777" w:rsidR="00834432" w:rsidRDefault="00834432" w:rsidP="00001C9B">
      <w:pPr>
        <w:spacing w:after="0" w:line="240" w:lineRule="auto"/>
      </w:pPr>
      <w:r>
        <w:separator/>
      </w:r>
    </w:p>
  </w:footnote>
  <w:footnote w:type="continuationSeparator" w:id="0">
    <w:p w14:paraId="05FA2C66" w14:textId="77777777" w:rsidR="00834432" w:rsidRDefault="00834432" w:rsidP="00001C9B">
      <w:pPr>
        <w:spacing w:after="0" w:line="240" w:lineRule="auto"/>
      </w:pPr>
      <w:r>
        <w:continuationSeparator/>
      </w:r>
    </w:p>
  </w:footnote>
  <w:footnote w:type="continuationNotice" w:id="1">
    <w:p w14:paraId="54B8DE46" w14:textId="77777777" w:rsidR="00834432" w:rsidRDefault="0083443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902249"/>
    <w:multiLevelType w:val="multilevel"/>
    <w:tmpl w:val="19F2D1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91D56CE"/>
    <w:multiLevelType w:val="multilevel"/>
    <w:tmpl w:val="CD5A7A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9E3832"/>
    <w:multiLevelType w:val="multilevel"/>
    <w:tmpl w:val="157A33EE"/>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8" w15:restartNumberingAfterBreak="0">
    <w:nsid w:val="58B73482"/>
    <w:multiLevelType w:val="multilevel"/>
    <w:tmpl w:val="58B73482"/>
    <w:lvl w:ilvl="0">
      <w:start w:val="1"/>
      <w:numFmt w:val="bullet"/>
      <w:lvlText w:val=""/>
      <w:lvlJc w:val="left"/>
      <w:pPr>
        <w:ind w:left="216" w:hanging="360"/>
      </w:pPr>
      <w:rPr>
        <w:rFonts w:ascii="Wingdings" w:hAnsi="Wingdings" w:hint="default"/>
      </w:rPr>
    </w:lvl>
    <w:lvl w:ilvl="1">
      <w:start w:val="1"/>
      <w:numFmt w:val="bullet"/>
      <w:lvlText w:val=""/>
      <w:lvlJc w:val="left"/>
      <w:pPr>
        <w:ind w:left="936" w:hanging="360"/>
      </w:pPr>
      <w:rPr>
        <w:rFonts w:ascii="Wingdings" w:hAnsi="Wingdings" w:hint="default"/>
      </w:rPr>
    </w:lvl>
    <w:lvl w:ilvl="2">
      <w:start w:val="1"/>
      <w:numFmt w:val="bullet"/>
      <w:lvlText w:val=""/>
      <w:lvlJc w:val="left"/>
      <w:pPr>
        <w:ind w:left="1656" w:hanging="360"/>
      </w:pPr>
      <w:rPr>
        <w:rFonts w:ascii="Wingdings" w:hAnsi="Wingdings" w:hint="default"/>
      </w:rPr>
    </w:lvl>
    <w:lvl w:ilvl="3">
      <w:start w:val="1"/>
      <w:numFmt w:val="bullet"/>
      <w:lvlText w:val=""/>
      <w:lvlJc w:val="left"/>
      <w:pPr>
        <w:ind w:left="2376" w:hanging="360"/>
      </w:pPr>
      <w:rPr>
        <w:rFonts w:ascii="Symbol" w:hAnsi="Symbol" w:hint="default"/>
      </w:rPr>
    </w:lvl>
    <w:lvl w:ilvl="4">
      <w:start w:val="1"/>
      <w:numFmt w:val="bullet"/>
      <w:lvlText w:val="o"/>
      <w:lvlJc w:val="left"/>
      <w:pPr>
        <w:ind w:left="3096" w:hanging="360"/>
      </w:pPr>
      <w:rPr>
        <w:rFonts w:ascii="Courier New" w:hAnsi="Courier New" w:cs="Courier New" w:hint="default"/>
      </w:rPr>
    </w:lvl>
    <w:lvl w:ilvl="5">
      <w:start w:val="1"/>
      <w:numFmt w:val="bullet"/>
      <w:lvlText w:val=""/>
      <w:lvlJc w:val="left"/>
      <w:pPr>
        <w:ind w:left="3816" w:hanging="360"/>
      </w:pPr>
      <w:rPr>
        <w:rFonts w:ascii="Wingdings" w:hAnsi="Wingdings" w:hint="default"/>
      </w:rPr>
    </w:lvl>
    <w:lvl w:ilvl="6">
      <w:start w:val="1"/>
      <w:numFmt w:val="bullet"/>
      <w:lvlText w:val=""/>
      <w:lvlJc w:val="left"/>
      <w:pPr>
        <w:ind w:left="4536" w:hanging="360"/>
      </w:pPr>
      <w:rPr>
        <w:rFonts w:ascii="Symbol" w:hAnsi="Symbol" w:hint="default"/>
      </w:rPr>
    </w:lvl>
    <w:lvl w:ilvl="7">
      <w:start w:val="1"/>
      <w:numFmt w:val="bullet"/>
      <w:lvlText w:val="o"/>
      <w:lvlJc w:val="left"/>
      <w:pPr>
        <w:ind w:left="5256" w:hanging="360"/>
      </w:pPr>
      <w:rPr>
        <w:rFonts w:ascii="Courier New" w:hAnsi="Courier New" w:cs="Courier New" w:hint="default"/>
      </w:rPr>
    </w:lvl>
    <w:lvl w:ilvl="8">
      <w:start w:val="1"/>
      <w:numFmt w:val="bullet"/>
      <w:lvlText w:val=""/>
      <w:lvlJc w:val="left"/>
      <w:pPr>
        <w:ind w:left="5976" w:hanging="360"/>
      </w:pPr>
      <w:rPr>
        <w:rFonts w:ascii="Wingdings" w:hAnsi="Wingdings" w:hint="default"/>
      </w:rPr>
    </w:lvl>
  </w:abstractNum>
  <w:abstractNum w:abstractNumId="9" w15:restartNumberingAfterBreak="0">
    <w:nsid w:val="5EEA041F"/>
    <w:multiLevelType w:val="hybridMultilevel"/>
    <w:tmpl w:val="89A4EFA6"/>
    <w:lvl w:ilvl="0" w:tplc="BE1E10F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6F9E57B2"/>
    <w:multiLevelType w:val="multilevel"/>
    <w:tmpl w:val="284444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7BE8569D"/>
    <w:multiLevelType w:val="multilevel"/>
    <w:tmpl w:val="209EA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792749823">
    <w:abstractNumId w:val="6"/>
  </w:num>
  <w:num w:numId="2" w16cid:durableId="80681869">
    <w:abstractNumId w:val="4"/>
  </w:num>
  <w:num w:numId="3" w16cid:durableId="1566528953">
    <w:abstractNumId w:val="5"/>
  </w:num>
  <w:num w:numId="4" w16cid:durableId="1456096507">
    <w:abstractNumId w:val="10"/>
  </w:num>
  <w:num w:numId="5" w16cid:durableId="143009612">
    <w:abstractNumId w:val="0"/>
  </w:num>
  <w:num w:numId="6" w16cid:durableId="137961980">
    <w:abstractNumId w:val="7"/>
  </w:num>
  <w:num w:numId="7" w16cid:durableId="631979451">
    <w:abstractNumId w:val="3"/>
  </w:num>
  <w:num w:numId="8" w16cid:durableId="465247555">
    <w:abstractNumId w:val="11"/>
  </w:num>
  <w:num w:numId="9" w16cid:durableId="392237818">
    <w:abstractNumId w:val="8"/>
  </w:num>
  <w:num w:numId="10" w16cid:durableId="1451435711">
    <w:abstractNumId w:val="9"/>
  </w:num>
  <w:num w:numId="11" w16cid:durableId="333650300">
    <w:abstractNumId w:val="2"/>
  </w:num>
  <w:num w:numId="12" w16cid:durableId="1706103824">
    <w:abstractNumId w:val="12"/>
  </w:num>
  <w:num w:numId="13" w16cid:durableId="1526291904">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D138A6"/>
    <w:rsid w:val="00000345"/>
    <w:rsid w:val="00001C9B"/>
    <w:rsid w:val="000033AE"/>
    <w:rsid w:val="000040DC"/>
    <w:rsid w:val="00011784"/>
    <w:rsid w:val="00011BE6"/>
    <w:rsid w:val="000151EF"/>
    <w:rsid w:val="0001613E"/>
    <w:rsid w:val="00017324"/>
    <w:rsid w:val="00017ED3"/>
    <w:rsid w:val="00021790"/>
    <w:rsid w:val="000239F5"/>
    <w:rsid w:val="0003704A"/>
    <w:rsid w:val="00044574"/>
    <w:rsid w:val="00046E50"/>
    <w:rsid w:val="0005041A"/>
    <w:rsid w:val="00051D20"/>
    <w:rsid w:val="00053557"/>
    <w:rsid w:val="00061256"/>
    <w:rsid w:val="00072CCA"/>
    <w:rsid w:val="0007601C"/>
    <w:rsid w:val="00081002"/>
    <w:rsid w:val="00081544"/>
    <w:rsid w:val="0008612A"/>
    <w:rsid w:val="00087B7D"/>
    <w:rsid w:val="00090E18"/>
    <w:rsid w:val="00091BE7"/>
    <w:rsid w:val="000A10BC"/>
    <w:rsid w:val="000A4C41"/>
    <w:rsid w:val="000A7F53"/>
    <w:rsid w:val="000B0056"/>
    <w:rsid w:val="000B60DF"/>
    <w:rsid w:val="000B709B"/>
    <w:rsid w:val="000C213F"/>
    <w:rsid w:val="000C3C7B"/>
    <w:rsid w:val="000C4DF6"/>
    <w:rsid w:val="000C7017"/>
    <w:rsid w:val="000D0F93"/>
    <w:rsid w:val="000D4BDB"/>
    <w:rsid w:val="000F76C3"/>
    <w:rsid w:val="001000A8"/>
    <w:rsid w:val="00102628"/>
    <w:rsid w:val="00106416"/>
    <w:rsid w:val="00110481"/>
    <w:rsid w:val="0011114C"/>
    <w:rsid w:val="001127C9"/>
    <w:rsid w:val="00114498"/>
    <w:rsid w:val="0011597D"/>
    <w:rsid w:val="00115B88"/>
    <w:rsid w:val="0011744C"/>
    <w:rsid w:val="00125BE6"/>
    <w:rsid w:val="00132F6A"/>
    <w:rsid w:val="00133913"/>
    <w:rsid w:val="00140221"/>
    <w:rsid w:val="0014165E"/>
    <w:rsid w:val="00142BD5"/>
    <w:rsid w:val="00152B8F"/>
    <w:rsid w:val="00161913"/>
    <w:rsid w:val="001642FC"/>
    <w:rsid w:val="0016496B"/>
    <w:rsid w:val="00164F65"/>
    <w:rsid w:val="00172A4F"/>
    <w:rsid w:val="001743E2"/>
    <w:rsid w:val="001745F8"/>
    <w:rsid w:val="00182C00"/>
    <w:rsid w:val="001838CF"/>
    <w:rsid w:val="001868EE"/>
    <w:rsid w:val="00187BF7"/>
    <w:rsid w:val="00190655"/>
    <w:rsid w:val="00193F19"/>
    <w:rsid w:val="00193F4E"/>
    <w:rsid w:val="00194AEC"/>
    <w:rsid w:val="001A3BA4"/>
    <w:rsid w:val="001A6D1F"/>
    <w:rsid w:val="001B037D"/>
    <w:rsid w:val="001B1591"/>
    <w:rsid w:val="001B1EA8"/>
    <w:rsid w:val="001B5045"/>
    <w:rsid w:val="001B75ED"/>
    <w:rsid w:val="001C767A"/>
    <w:rsid w:val="001D0F13"/>
    <w:rsid w:val="001E30F6"/>
    <w:rsid w:val="001E3B32"/>
    <w:rsid w:val="00216379"/>
    <w:rsid w:val="00217EE5"/>
    <w:rsid w:val="002267F8"/>
    <w:rsid w:val="0023559D"/>
    <w:rsid w:val="00235F5C"/>
    <w:rsid w:val="0024235F"/>
    <w:rsid w:val="002433E2"/>
    <w:rsid w:val="00243534"/>
    <w:rsid w:val="00256361"/>
    <w:rsid w:val="00257FA3"/>
    <w:rsid w:val="00262259"/>
    <w:rsid w:val="0027148B"/>
    <w:rsid w:val="00276C1B"/>
    <w:rsid w:val="00277B56"/>
    <w:rsid w:val="00277EAF"/>
    <w:rsid w:val="00282A74"/>
    <w:rsid w:val="002849D4"/>
    <w:rsid w:val="00284AF6"/>
    <w:rsid w:val="00295E70"/>
    <w:rsid w:val="002A158A"/>
    <w:rsid w:val="002A19F5"/>
    <w:rsid w:val="002A248C"/>
    <w:rsid w:val="002A5C2B"/>
    <w:rsid w:val="002A77E8"/>
    <w:rsid w:val="002B4922"/>
    <w:rsid w:val="002B69F3"/>
    <w:rsid w:val="002C07CF"/>
    <w:rsid w:val="002C22C3"/>
    <w:rsid w:val="002C2D19"/>
    <w:rsid w:val="002D10FA"/>
    <w:rsid w:val="002D4C55"/>
    <w:rsid w:val="002D592D"/>
    <w:rsid w:val="002E405E"/>
    <w:rsid w:val="002E6DED"/>
    <w:rsid w:val="002F10BB"/>
    <w:rsid w:val="002F4609"/>
    <w:rsid w:val="00300956"/>
    <w:rsid w:val="00307EE8"/>
    <w:rsid w:val="00312AFD"/>
    <w:rsid w:val="00317187"/>
    <w:rsid w:val="00323F55"/>
    <w:rsid w:val="0032499A"/>
    <w:rsid w:val="00333E0A"/>
    <w:rsid w:val="003341F7"/>
    <w:rsid w:val="00337B3E"/>
    <w:rsid w:val="00347FEC"/>
    <w:rsid w:val="003509DF"/>
    <w:rsid w:val="00354974"/>
    <w:rsid w:val="00356F45"/>
    <w:rsid w:val="00360149"/>
    <w:rsid w:val="00366B74"/>
    <w:rsid w:val="003706E4"/>
    <w:rsid w:val="003721DC"/>
    <w:rsid w:val="003733A3"/>
    <w:rsid w:val="00376DAD"/>
    <w:rsid w:val="003774C0"/>
    <w:rsid w:val="00377547"/>
    <w:rsid w:val="00381F95"/>
    <w:rsid w:val="00390749"/>
    <w:rsid w:val="003934A5"/>
    <w:rsid w:val="003A0536"/>
    <w:rsid w:val="003A710A"/>
    <w:rsid w:val="003B0849"/>
    <w:rsid w:val="003B398C"/>
    <w:rsid w:val="003B4307"/>
    <w:rsid w:val="003B659E"/>
    <w:rsid w:val="003B71CE"/>
    <w:rsid w:val="003C275E"/>
    <w:rsid w:val="003C4FDE"/>
    <w:rsid w:val="003E58DF"/>
    <w:rsid w:val="003F25B8"/>
    <w:rsid w:val="003F32C8"/>
    <w:rsid w:val="003F7007"/>
    <w:rsid w:val="00404C4C"/>
    <w:rsid w:val="0041423F"/>
    <w:rsid w:val="00414F81"/>
    <w:rsid w:val="0042073D"/>
    <w:rsid w:val="00426B9A"/>
    <w:rsid w:val="00436A0F"/>
    <w:rsid w:val="00437150"/>
    <w:rsid w:val="0043750A"/>
    <w:rsid w:val="004376E9"/>
    <w:rsid w:val="004421DA"/>
    <w:rsid w:val="00447577"/>
    <w:rsid w:val="00453447"/>
    <w:rsid w:val="004705F9"/>
    <w:rsid w:val="00471230"/>
    <w:rsid w:val="004732E9"/>
    <w:rsid w:val="00474314"/>
    <w:rsid w:val="004854BB"/>
    <w:rsid w:val="00492093"/>
    <w:rsid w:val="00494493"/>
    <w:rsid w:val="00496197"/>
    <w:rsid w:val="00496606"/>
    <w:rsid w:val="004A0E28"/>
    <w:rsid w:val="004C08DB"/>
    <w:rsid w:val="004C219D"/>
    <w:rsid w:val="004C29DE"/>
    <w:rsid w:val="004C3561"/>
    <w:rsid w:val="004C7EB9"/>
    <w:rsid w:val="004E0E1B"/>
    <w:rsid w:val="004E47AD"/>
    <w:rsid w:val="004E5E66"/>
    <w:rsid w:val="004E7ADB"/>
    <w:rsid w:val="004E7F03"/>
    <w:rsid w:val="004F5F61"/>
    <w:rsid w:val="00503B4D"/>
    <w:rsid w:val="00503F9E"/>
    <w:rsid w:val="00504EE9"/>
    <w:rsid w:val="0050753C"/>
    <w:rsid w:val="005128C6"/>
    <w:rsid w:val="00514E4F"/>
    <w:rsid w:val="0051572F"/>
    <w:rsid w:val="00521576"/>
    <w:rsid w:val="005250E6"/>
    <w:rsid w:val="00527D02"/>
    <w:rsid w:val="00530F09"/>
    <w:rsid w:val="00531501"/>
    <w:rsid w:val="00540689"/>
    <w:rsid w:val="00540A73"/>
    <w:rsid w:val="00541557"/>
    <w:rsid w:val="00542D23"/>
    <w:rsid w:val="0054442C"/>
    <w:rsid w:val="00550285"/>
    <w:rsid w:val="005552E5"/>
    <w:rsid w:val="00562492"/>
    <w:rsid w:val="005624E0"/>
    <w:rsid w:val="00562A2B"/>
    <w:rsid w:val="00564C87"/>
    <w:rsid w:val="005710E5"/>
    <w:rsid w:val="00572A20"/>
    <w:rsid w:val="00572C91"/>
    <w:rsid w:val="005743CC"/>
    <w:rsid w:val="005754D2"/>
    <w:rsid w:val="00581618"/>
    <w:rsid w:val="005836F8"/>
    <w:rsid w:val="00587A2D"/>
    <w:rsid w:val="005918FA"/>
    <w:rsid w:val="00592A86"/>
    <w:rsid w:val="005A39DD"/>
    <w:rsid w:val="005A69F7"/>
    <w:rsid w:val="005A6DCA"/>
    <w:rsid w:val="005A756D"/>
    <w:rsid w:val="005B2520"/>
    <w:rsid w:val="005B3029"/>
    <w:rsid w:val="005B4801"/>
    <w:rsid w:val="005B5B25"/>
    <w:rsid w:val="005C1801"/>
    <w:rsid w:val="005C23A4"/>
    <w:rsid w:val="005C7EFA"/>
    <w:rsid w:val="005D1CDF"/>
    <w:rsid w:val="005D2BB7"/>
    <w:rsid w:val="005D6FFE"/>
    <w:rsid w:val="005E61A8"/>
    <w:rsid w:val="005F6419"/>
    <w:rsid w:val="0060301D"/>
    <w:rsid w:val="0060543D"/>
    <w:rsid w:val="00607EC7"/>
    <w:rsid w:val="006104DD"/>
    <w:rsid w:val="006130B5"/>
    <w:rsid w:val="00614DD8"/>
    <w:rsid w:val="00617400"/>
    <w:rsid w:val="00620299"/>
    <w:rsid w:val="0062749D"/>
    <w:rsid w:val="00632D29"/>
    <w:rsid w:val="0064171D"/>
    <w:rsid w:val="00641C5E"/>
    <w:rsid w:val="006471EA"/>
    <w:rsid w:val="00664950"/>
    <w:rsid w:val="00666A5B"/>
    <w:rsid w:val="00682723"/>
    <w:rsid w:val="00683220"/>
    <w:rsid w:val="0068781B"/>
    <w:rsid w:val="00687FA0"/>
    <w:rsid w:val="00696FEB"/>
    <w:rsid w:val="006A2919"/>
    <w:rsid w:val="006A3C11"/>
    <w:rsid w:val="006A5D58"/>
    <w:rsid w:val="006A5EFD"/>
    <w:rsid w:val="006A7942"/>
    <w:rsid w:val="006B3B60"/>
    <w:rsid w:val="006B3EC0"/>
    <w:rsid w:val="006B7010"/>
    <w:rsid w:val="006B7131"/>
    <w:rsid w:val="006B7AE5"/>
    <w:rsid w:val="006C3095"/>
    <w:rsid w:val="006E1151"/>
    <w:rsid w:val="006E29BE"/>
    <w:rsid w:val="006E6311"/>
    <w:rsid w:val="00701D91"/>
    <w:rsid w:val="00713021"/>
    <w:rsid w:val="007145FF"/>
    <w:rsid w:val="0071472E"/>
    <w:rsid w:val="00715B2A"/>
    <w:rsid w:val="00716DDC"/>
    <w:rsid w:val="00733B21"/>
    <w:rsid w:val="00734B18"/>
    <w:rsid w:val="007376A9"/>
    <w:rsid w:val="00737F44"/>
    <w:rsid w:val="00741266"/>
    <w:rsid w:val="00742D8A"/>
    <w:rsid w:val="007450F1"/>
    <w:rsid w:val="007453C7"/>
    <w:rsid w:val="00751515"/>
    <w:rsid w:val="00754292"/>
    <w:rsid w:val="00756FDE"/>
    <w:rsid w:val="00757634"/>
    <w:rsid w:val="007626B7"/>
    <w:rsid w:val="00770F28"/>
    <w:rsid w:val="00775086"/>
    <w:rsid w:val="0078212B"/>
    <w:rsid w:val="00784DF6"/>
    <w:rsid w:val="00785232"/>
    <w:rsid w:val="0079788F"/>
    <w:rsid w:val="007A2588"/>
    <w:rsid w:val="007A726F"/>
    <w:rsid w:val="007B186C"/>
    <w:rsid w:val="007B1EF9"/>
    <w:rsid w:val="007B3ED9"/>
    <w:rsid w:val="007B6A8F"/>
    <w:rsid w:val="007C02A1"/>
    <w:rsid w:val="007C1696"/>
    <w:rsid w:val="007C3ED0"/>
    <w:rsid w:val="007C48C4"/>
    <w:rsid w:val="007C58BC"/>
    <w:rsid w:val="007C5971"/>
    <w:rsid w:val="007C7C32"/>
    <w:rsid w:val="007D2A22"/>
    <w:rsid w:val="007D40C0"/>
    <w:rsid w:val="007E42DC"/>
    <w:rsid w:val="007E4668"/>
    <w:rsid w:val="007E70BB"/>
    <w:rsid w:val="007F54B9"/>
    <w:rsid w:val="00806A76"/>
    <w:rsid w:val="00807394"/>
    <w:rsid w:val="00811C9D"/>
    <w:rsid w:val="008144A1"/>
    <w:rsid w:val="00816C80"/>
    <w:rsid w:val="008176BA"/>
    <w:rsid w:val="0081797B"/>
    <w:rsid w:val="0082796A"/>
    <w:rsid w:val="00831509"/>
    <w:rsid w:val="00834432"/>
    <w:rsid w:val="0083707A"/>
    <w:rsid w:val="00841BCD"/>
    <w:rsid w:val="00847264"/>
    <w:rsid w:val="00851A8E"/>
    <w:rsid w:val="0085365B"/>
    <w:rsid w:val="00866225"/>
    <w:rsid w:val="008668B5"/>
    <w:rsid w:val="008668DA"/>
    <w:rsid w:val="008719D8"/>
    <w:rsid w:val="00872E0C"/>
    <w:rsid w:val="00880083"/>
    <w:rsid w:val="008812D7"/>
    <w:rsid w:val="008826C1"/>
    <w:rsid w:val="00883DFD"/>
    <w:rsid w:val="00885EBF"/>
    <w:rsid w:val="0088655C"/>
    <w:rsid w:val="00887A7B"/>
    <w:rsid w:val="0089210C"/>
    <w:rsid w:val="0089230E"/>
    <w:rsid w:val="00893D2E"/>
    <w:rsid w:val="0089430B"/>
    <w:rsid w:val="008A1BF7"/>
    <w:rsid w:val="008A4F48"/>
    <w:rsid w:val="008A5B0E"/>
    <w:rsid w:val="008B0961"/>
    <w:rsid w:val="008B136E"/>
    <w:rsid w:val="008B37C9"/>
    <w:rsid w:val="008C39F7"/>
    <w:rsid w:val="008C4C41"/>
    <w:rsid w:val="008D2DAC"/>
    <w:rsid w:val="008E1D7D"/>
    <w:rsid w:val="008E24BD"/>
    <w:rsid w:val="008E66C7"/>
    <w:rsid w:val="008F786B"/>
    <w:rsid w:val="0090091A"/>
    <w:rsid w:val="009018C6"/>
    <w:rsid w:val="009025DE"/>
    <w:rsid w:val="0090373B"/>
    <w:rsid w:val="009042BD"/>
    <w:rsid w:val="00904FE4"/>
    <w:rsid w:val="00927740"/>
    <w:rsid w:val="00935E23"/>
    <w:rsid w:val="00936159"/>
    <w:rsid w:val="00944CD7"/>
    <w:rsid w:val="00952B49"/>
    <w:rsid w:val="009551B4"/>
    <w:rsid w:val="009628AD"/>
    <w:rsid w:val="009647E1"/>
    <w:rsid w:val="00975B93"/>
    <w:rsid w:val="00977E1D"/>
    <w:rsid w:val="009912ED"/>
    <w:rsid w:val="00997EE7"/>
    <w:rsid w:val="009A32FE"/>
    <w:rsid w:val="009A3E90"/>
    <w:rsid w:val="009A7297"/>
    <w:rsid w:val="009B0573"/>
    <w:rsid w:val="009B7B4B"/>
    <w:rsid w:val="009B7C21"/>
    <w:rsid w:val="009C061C"/>
    <w:rsid w:val="009C0CC6"/>
    <w:rsid w:val="009C4D6A"/>
    <w:rsid w:val="009D593D"/>
    <w:rsid w:val="009D74D3"/>
    <w:rsid w:val="009E025C"/>
    <w:rsid w:val="009E2A95"/>
    <w:rsid w:val="009E4E6E"/>
    <w:rsid w:val="009E5FA9"/>
    <w:rsid w:val="009F7FEF"/>
    <w:rsid w:val="00A019F7"/>
    <w:rsid w:val="00A048EE"/>
    <w:rsid w:val="00A04992"/>
    <w:rsid w:val="00A1254E"/>
    <w:rsid w:val="00A147AA"/>
    <w:rsid w:val="00A14B57"/>
    <w:rsid w:val="00A1568A"/>
    <w:rsid w:val="00A20A77"/>
    <w:rsid w:val="00A21D71"/>
    <w:rsid w:val="00A22B78"/>
    <w:rsid w:val="00A246F7"/>
    <w:rsid w:val="00A25AE5"/>
    <w:rsid w:val="00A25EDC"/>
    <w:rsid w:val="00A26442"/>
    <w:rsid w:val="00A37002"/>
    <w:rsid w:val="00A4355E"/>
    <w:rsid w:val="00A45756"/>
    <w:rsid w:val="00A520D9"/>
    <w:rsid w:val="00A56F68"/>
    <w:rsid w:val="00A64B9E"/>
    <w:rsid w:val="00A64DA0"/>
    <w:rsid w:val="00A65C2A"/>
    <w:rsid w:val="00A710A9"/>
    <w:rsid w:val="00A74866"/>
    <w:rsid w:val="00A7535A"/>
    <w:rsid w:val="00A849D4"/>
    <w:rsid w:val="00A912E6"/>
    <w:rsid w:val="00A92306"/>
    <w:rsid w:val="00A92BCD"/>
    <w:rsid w:val="00AA1B0E"/>
    <w:rsid w:val="00AA47B6"/>
    <w:rsid w:val="00AC06C0"/>
    <w:rsid w:val="00AC163B"/>
    <w:rsid w:val="00AC5CA7"/>
    <w:rsid w:val="00AC6058"/>
    <w:rsid w:val="00AE2BA5"/>
    <w:rsid w:val="00AE56B1"/>
    <w:rsid w:val="00AE5ED1"/>
    <w:rsid w:val="00AE6D09"/>
    <w:rsid w:val="00AE6FB4"/>
    <w:rsid w:val="00AF7A7C"/>
    <w:rsid w:val="00B02070"/>
    <w:rsid w:val="00B039AF"/>
    <w:rsid w:val="00B15F6F"/>
    <w:rsid w:val="00B23294"/>
    <w:rsid w:val="00B258FE"/>
    <w:rsid w:val="00B26A8A"/>
    <w:rsid w:val="00B3610E"/>
    <w:rsid w:val="00B408B6"/>
    <w:rsid w:val="00B408F6"/>
    <w:rsid w:val="00B516DC"/>
    <w:rsid w:val="00B542DA"/>
    <w:rsid w:val="00B66B7D"/>
    <w:rsid w:val="00B70C76"/>
    <w:rsid w:val="00B73862"/>
    <w:rsid w:val="00B73F43"/>
    <w:rsid w:val="00B75BBF"/>
    <w:rsid w:val="00B81CDC"/>
    <w:rsid w:val="00BA0CEE"/>
    <w:rsid w:val="00BA308C"/>
    <w:rsid w:val="00BA6B66"/>
    <w:rsid w:val="00BA6E48"/>
    <w:rsid w:val="00BA7C74"/>
    <w:rsid w:val="00BD1174"/>
    <w:rsid w:val="00BD60AF"/>
    <w:rsid w:val="00BD7AF3"/>
    <w:rsid w:val="00BD7FA5"/>
    <w:rsid w:val="00BE0AF6"/>
    <w:rsid w:val="00BE0E6E"/>
    <w:rsid w:val="00BE0FFE"/>
    <w:rsid w:val="00BE1F03"/>
    <w:rsid w:val="00BE216A"/>
    <w:rsid w:val="00BE39D9"/>
    <w:rsid w:val="00BE4CCE"/>
    <w:rsid w:val="00BE54FE"/>
    <w:rsid w:val="00BE58A7"/>
    <w:rsid w:val="00BF2218"/>
    <w:rsid w:val="00BF7071"/>
    <w:rsid w:val="00C0426B"/>
    <w:rsid w:val="00C045DF"/>
    <w:rsid w:val="00C06FBA"/>
    <w:rsid w:val="00C22D38"/>
    <w:rsid w:val="00C2402C"/>
    <w:rsid w:val="00C260B7"/>
    <w:rsid w:val="00C26D43"/>
    <w:rsid w:val="00C300D3"/>
    <w:rsid w:val="00C35173"/>
    <w:rsid w:val="00C35C21"/>
    <w:rsid w:val="00C43F4A"/>
    <w:rsid w:val="00C46548"/>
    <w:rsid w:val="00C532CE"/>
    <w:rsid w:val="00C53B3A"/>
    <w:rsid w:val="00C574D5"/>
    <w:rsid w:val="00C60CD0"/>
    <w:rsid w:val="00C65CE1"/>
    <w:rsid w:val="00C73DF6"/>
    <w:rsid w:val="00C73F32"/>
    <w:rsid w:val="00C819C1"/>
    <w:rsid w:val="00C838F3"/>
    <w:rsid w:val="00C851E4"/>
    <w:rsid w:val="00C87462"/>
    <w:rsid w:val="00C91014"/>
    <w:rsid w:val="00C926AA"/>
    <w:rsid w:val="00CA0F41"/>
    <w:rsid w:val="00CA180C"/>
    <w:rsid w:val="00CB22B2"/>
    <w:rsid w:val="00CC0D38"/>
    <w:rsid w:val="00CC2E55"/>
    <w:rsid w:val="00CC3EE2"/>
    <w:rsid w:val="00CD6C0E"/>
    <w:rsid w:val="00CD7492"/>
    <w:rsid w:val="00CE3A6B"/>
    <w:rsid w:val="00CE5013"/>
    <w:rsid w:val="00D00211"/>
    <w:rsid w:val="00D006D1"/>
    <w:rsid w:val="00D0100E"/>
    <w:rsid w:val="00D025AE"/>
    <w:rsid w:val="00D03109"/>
    <w:rsid w:val="00D06309"/>
    <w:rsid w:val="00D138A6"/>
    <w:rsid w:val="00D14270"/>
    <w:rsid w:val="00D16989"/>
    <w:rsid w:val="00D256AE"/>
    <w:rsid w:val="00D30170"/>
    <w:rsid w:val="00D351EA"/>
    <w:rsid w:val="00D40288"/>
    <w:rsid w:val="00D43403"/>
    <w:rsid w:val="00D4655B"/>
    <w:rsid w:val="00D50A6B"/>
    <w:rsid w:val="00D5270B"/>
    <w:rsid w:val="00D54C5E"/>
    <w:rsid w:val="00D60E48"/>
    <w:rsid w:val="00D62E71"/>
    <w:rsid w:val="00D6430D"/>
    <w:rsid w:val="00D66188"/>
    <w:rsid w:val="00D712E6"/>
    <w:rsid w:val="00D731F6"/>
    <w:rsid w:val="00D740CA"/>
    <w:rsid w:val="00D7482D"/>
    <w:rsid w:val="00D816F8"/>
    <w:rsid w:val="00D85728"/>
    <w:rsid w:val="00D85B62"/>
    <w:rsid w:val="00D876E6"/>
    <w:rsid w:val="00D92FC6"/>
    <w:rsid w:val="00D95481"/>
    <w:rsid w:val="00D96E40"/>
    <w:rsid w:val="00DA46F7"/>
    <w:rsid w:val="00DB63FC"/>
    <w:rsid w:val="00DB67E5"/>
    <w:rsid w:val="00DC55BA"/>
    <w:rsid w:val="00DC7A13"/>
    <w:rsid w:val="00DD23F9"/>
    <w:rsid w:val="00DE6495"/>
    <w:rsid w:val="00DE7064"/>
    <w:rsid w:val="00DF15FF"/>
    <w:rsid w:val="00DF2997"/>
    <w:rsid w:val="00DF649E"/>
    <w:rsid w:val="00DF74B6"/>
    <w:rsid w:val="00E10BC4"/>
    <w:rsid w:val="00E1415D"/>
    <w:rsid w:val="00E213BD"/>
    <w:rsid w:val="00E233D3"/>
    <w:rsid w:val="00E23FDE"/>
    <w:rsid w:val="00E323E9"/>
    <w:rsid w:val="00E32FB6"/>
    <w:rsid w:val="00E33420"/>
    <w:rsid w:val="00E34018"/>
    <w:rsid w:val="00E437D2"/>
    <w:rsid w:val="00E43BF9"/>
    <w:rsid w:val="00E43E4A"/>
    <w:rsid w:val="00E47BC6"/>
    <w:rsid w:val="00E51930"/>
    <w:rsid w:val="00E54B70"/>
    <w:rsid w:val="00E55751"/>
    <w:rsid w:val="00E5652C"/>
    <w:rsid w:val="00E56A09"/>
    <w:rsid w:val="00E66DCD"/>
    <w:rsid w:val="00E7398E"/>
    <w:rsid w:val="00E8202D"/>
    <w:rsid w:val="00E829EB"/>
    <w:rsid w:val="00E82B94"/>
    <w:rsid w:val="00E87217"/>
    <w:rsid w:val="00E95AD3"/>
    <w:rsid w:val="00E97484"/>
    <w:rsid w:val="00EA2311"/>
    <w:rsid w:val="00EB6054"/>
    <w:rsid w:val="00EB70E6"/>
    <w:rsid w:val="00EC0BEB"/>
    <w:rsid w:val="00EC7BC3"/>
    <w:rsid w:val="00ED4EB4"/>
    <w:rsid w:val="00ED7600"/>
    <w:rsid w:val="00EF6073"/>
    <w:rsid w:val="00EF698B"/>
    <w:rsid w:val="00F03F05"/>
    <w:rsid w:val="00F1362C"/>
    <w:rsid w:val="00F15C87"/>
    <w:rsid w:val="00F17D7B"/>
    <w:rsid w:val="00F33246"/>
    <w:rsid w:val="00F33EA7"/>
    <w:rsid w:val="00F37281"/>
    <w:rsid w:val="00F379A4"/>
    <w:rsid w:val="00F37AD4"/>
    <w:rsid w:val="00F414F1"/>
    <w:rsid w:val="00F508B8"/>
    <w:rsid w:val="00F53234"/>
    <w:rsid w:val="00F5470A"/>
    <w:rsid w:val="00F547AB"/>
    <w:rsid w:val="00F65C1F"/>
    <w:rsid w:val="00F721CE"/>
    <w:rsid w:val="00F72CB1"/>
    <w:rsid w:val="00F771A8"/>
    <w:rsid w:val="00F8215E"/>
    <w:rsid w:val="00F824F5"/>
    <w:rsid w:val="00F82A18"/>
    <w:rsid w:val="00F83B29"/>
    <w:rsid w:val="00F852B4"/>
    <w:rsid w:val="00F86513"/>
    <w:rsid w:val="00F90FAB"/>
    <w:rsid w:val="00F9374D"/>
    <w:rsid w:val="00F97006"/>
    <w:rsid w:val="00FA7FB5"/>
    <w:rsid w:val="00FB6924"/>
    <w:rsid w:val="00FC29B9"/>
    <w:rsid w:val="00FC384F"/>
    <w:rsid w:val="00FC6FD3"/>
    <w:rsid w:val="00FD190C"/>
    <w:rsid w:val="00FD1F42"/>
    <w:rsid w:val="00FD2225"/>
    <w:rsid w:val="00FE305C"/>
    <w:rsid w:val="00FF0301"/>
    <w:rsid w:val="00FF565B"/>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67F807"/>
  <w15:chartTrackingRefBased/>
  <w15:docId w15:val="{7201335C-E339-4576-90BF-8ACEE106C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列表段落,R4_bullets,列表段落1,—ño’i—Ž,¥¡¡¡¡ì¬º¥¹¥È¶ÎÂä,ÁÐ³ö¶ÎÂä,¥ê¥¹¥È¶ÎÂä,1st level - Bullet List Paragraph,Lettre d'introduction,Paragrafo elenco,R4_Bullet"/>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列表段落 Char,R4_bullets Char,列表段落1 Char,—ño’i—Ž Char,¥¡¡¡¡ì¬º¥¹¥È¶ÎÂä Char,ÁÐ³ö¶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SimSun-ExtG" w:hAnsi="@SimSun-ExtG"/>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character" w:styleId="Mention">
    <w:name w:val="Mention"/>
    <w:basedOn w:val="DefaultParagraphFont"/>
    <w:uiPriority w:val="99"/>
    <w:unhideWhenUsed/>
    <w:rsid w:val="00A14B57"/>
    <w:rPr>
      <w:color w:val="2B579A"/>
      <w:shd w:val="clear" w:color="auto" w:fill="E1DFDD"/>
    </w:rPr>
  </w:style>
  <w:style w:type="table" w:customStyle="1" w:styleId="TableGrid1">
    <w:name w:val="Table Grid1"/>
    <w:basedOn w:val="TableNormal"/>
    <w:next w:val="TableGrid"/>
    <w:uiPriority w:val="39"/>
    <w:rsid w:val="00E33420"/>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182672180">
      <w:bodyDiv w:val="1"/>
      <w:marLeft w:val="0"/>
      <w:marRight w:val="0"/>
      <w:marTop w:val="0"/>
      <w:marBottom w:val="0"/>
      <w:divBdr>
        <w:top w:val="none" w:sz="0" w:space="0" w:color="auto"/>
        <w:left w:val="none" w:sz="0" w:space="0" w:color="auto"/>
        <w:bottom w:val="none" w:sz="0" w:space="0" w:color="auto"/>
        <w:right w:val="none" w:sz="0" w:space="0" w:color="auto"/>
      </w:divBdr>
    </w:div>
    <w:div w:id="267542168">
      <w:bodyDiv w:val="1"/>
      <w:marLeft w:val="0"/>
      <w:marRight w:val="0"/>
      <w:marTop w:val="0"/>
      <w:marBottom w:val="0"/>
      <w:divBdr>
        <w:top w:val="none" w:sz="0" w:space="0" w:color="auto"/>
        <w:left w:val="none" w:sz="0" w:space="0" w:color="auto"/>
        <w:bottom w:val="none" w:sz="0" w:space="0" w:color="auto"/>
        <w:right w:val="none" w:sz="0" w:space="0" w:color="auto"/>
      </w:divBdr>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328756039">
      <w:bodyDiv w:val="1"/>
      <w:marLeft w:val="0"/>
      <w:marRight w:val="0"/>
      <w:marTop w:val="0"/>
      <w:marBottom w:val="0"/>
      <w:divBdr>
        <w:top w:val="none" w:sz="0" w:space="0" w:color="auto"/>
        <w:left w:val="none" w:sz="0" w:space="0" w:color="auto"/>
        <w:bottom w:val="none" w:sz="0" w:space="0" w:color="auto"/>
        <w:right w:val="none" w:sz="0" w:space="0" w:color="auto"/>
      </w:divBdr>
    </w:div>
    <w:div w:id="437333521">
      <w:bodyDiv w:val="1"/>
      <w:marLeft w:val="0"/>
      <w:marRight w:val="0"/>
      <w:marTop w:val="0"/>
      <w:marBottom w:val="0"/>
      <w:divBdr>
        <w:top w:val="none" w:sz="0" w:space="0" w:color="auto"/>
        <w:left w:val="none" w:sz="0" w:space="0" w:color="auto"/>
        <w:bottom w:val="none" w:sz="0" w:space="0" w:color="auto"/>
        <w:right w:val="none" w:sz="0" w:space="0" w:color="auto"/>
      </w:divBdr>
    </w:div>
    <w:div w:id="742685453">
      <w:bodyDiv w:val="1"/>
      <w:marLeft w:val="0"/>
      <w:marRight w:val="0"/>
      <w:marTop w:val="0"/>
      <w:marBottom w:val="0"/>
      <w:divBdr>
        <w:top w:val="none" w:sz="0" w:space="0" w:color="auto"/>
        <w:left w:val="none" w:sz="0" w:space="0" w:color="auto"/>
        <w:bottom w:val="none" w:sz="0" w:space="0" w:color="auto"/>
        <w:right w:val="none" w:sz="0" w:space="0" w:color="auto"/>
      </w:divBdr>
      <w:divsChild>
        <w:div w:id="830948561">
          <w:marLeft w:val="0"/>
          <w:marRight w:val="0"/>
          <w:marTop w:val="0"/>
          <w:marBottom w:val="0"/>
          <w:divBdr>
            <w:top w:val="none" w:sz="0" w:space="0" w:color="auto"/>
            <w:left w:val="none" w:sz="0" w:space="0" w:color="auto"/>
            <w:bottom w:val="none" w:sz="0" w:space="0" w:color="auto"/>
            <w:right w:val="none" w:sz="0" w:space="0" w:color="auto"/>
          </w:divBdr>
        </w:div>
      </w:divsChild>
    </w:div>
    <w:div w:id="873689448">
      <w:bodyDiv w:val="1"/>
      <w:marLeft w:val="0"/>
      <w:marRight w:val="0"/>
      <w:marTop w:val="0"/>
      <w:marBottom w:val="0"/>
      <w:divBdr>
        <w:top w:val="none" w:sz="0" w:space="0" w:color="auto"/>
        <w:left w:val="none" w:sz="0" w:space="0" w:color="auto"/>
        <w:bottom w:val="none" w:sz="0" w:space="0" w:color="auto"/>
        <w:right w:val="none" w:sz="0" w:space="0" w:color="auto"/>
      </w:divBdr>
    </w:div>
    <w:div w:id="1180466815">
      <w:bodyDiv w:val="1"/>
      <w:marLeft w:val="0"/>
      <w:marRight w:val="0"/>
      <w:marTop w:val="0"/>
      <w:marBottom w:val="0"/>
      <w:divBdr>
        <w:top w:val="none" w:sz="0" w:space="0" w:color="auto"/>
        <w:left w:val="none" w:sz="0" w:space="0" w:color="auto"/>
        <w:bottom w:val="none" w:sz="0" w:space="0" w:color="auto"/>
        <w:right w:val="none" w:sz="0" w:space="0" w:color="auto"/>
      </w:divBdr>
    </w:div>
    <w:div w:id="1269586396">
      <w:bodyDiv w:val="1"/>
      <w:marLeft w:val="0"/>
      <w:marRight w:val="0"/>
      <w:marTop w:val="0"/>
      <w:marBottom w:val="0"/>
      <w:divBdr>
        <w:top w:val="none" w:sz="0" w:space="0" w:color="auto"/>
        <w:left w:val="none" w:sz="0" w:space="0" w:color="auto"/>
        <w:bottom w:val="none" w:sz="0" w:space="0" w:color="auto"/>
        <w:right w:val="none" w:sz="0" w:space="0" w:color="auto"/>
      </w:divBdr>
    </w:div>
    <w:div w:id="1297492276">
      <w:bodyDiv w:val="1"/>
      <w:marLeft w:val="0"/>
      <w:marRight w:val="0"/>
      <w:marTop w:val="0"/>
      <w:marBottom w:val="0"/>
      <w:divBdr>
        <w:top w:val="none" w:sz="0" w:space="0" w:color="auto"/>
        <w:left w:val="none" w:sz="0" w:space="0" w:color="auto"/>
        <w:bottom w:val="none" w:sz="0" w:space="0" w:color="auto"/>
        <w:right w:val="none" w:sz="0" w:space="0" w:color="auto"/>
      </w:divBdr>
    </w:div>
    <w:div w:id="1811092736">
      <w:bodyDiv w:val="1"/>
      <w:marLeft w:val="0"/>
      <w:marRight w:val="0"/>
      <w:marTop w:val="0"/>
      <w:marBottom w:val="0"/>
      <w:divBdr>
        <w:top w:val="none" w:sz="0" w:space="0" w:color="auto"/>
        <w:left w:val="none" w:sz="0" w:space="0" w:color="auto"/>
        <w:bottom w:val="none" w:sz="0" w:space="0" w:color="auto"/>
        <w:right w:val="none" w:sz="0" w:space="0" w:color="auto"/>
      </w:divBdr>
    </w:div>
    <w:div w:id="1816027190">
      <w:bodyDiv w:val="1"/>
      <w:marLeft w:val="0"/>
      <w:marRight w:val="0"/>
      <w:marTop w:val="0"/>
      <w:marBottom w:val="0"/>
      <w:divBdr>
        <w:top w:val="none" w:sz="0" w:space="0" w:color="auto"/>
        <w:left w:val="none" w:sz="0" w:space="0" w:color="auto"/>
        <w:bottom w:val="none" w:sz="0" w:space="0" w:color="auto"/>
        <w:right w:val="none" w:sz="0" w:space="0" w:color="auto"/>
      </w:divBdr>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 w:id="1961255235">
      <w:bodyDiv w:val="1"/>
      <w:marLeft w:val="0"/>
      <w:marRight w:val="0"/>
      <w:marTop w:val="0"/>
      <w:marBottom w:val="0"/>
      <w:divBdr>
        <w:top w:val="none" w:sz="0" w:space="0" w:color="auto"/>
        <w:left w:val="none" w:sz="0" w:space="0" w:color="auto"/>
        <w:bottom w:val="none" w:sz="0" w:space="0" w:color="auto"/>
        <w:right w:val="none" w:sz="0" w:space="0" w:color="auto"/>
      </w:divBdr>
      <w:divsChild>
        <w:div w:id="443237030">
          <w:marLeft w:val="0"/>
          <w:marRight w:val="0"/>
          <w:marTop w:val="0"/>
          <w:marBottom w:val="0"/>
          <w:divBdr>
            <w:top w:val="none" w:sz="0" w:space="0" w:color="auto"/>
            <w:left w:val="none" w:sz="0" w:space="0" w:color="auto"/>
            <w:bottom w:val="none" w:sz="0" w:space="0" w:color="auto"/>
            <w:right w:val="none" w:sz="0" w:space="0" w:color="auto"/>
          </w:divBdr>
        </w:div>
      </w:divsChild>
    </w:div>
    <w:div w:id="2041054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RBI5PAMIO524-1616901215-55941</_dlc_DocId>
    <HideFromDelve xmlns="71c5aaf6-e6ce-465b-b873-5148d2a4c105">false</HideFromDelve>
    <Comments xmlns="3f2ce089-3858-4176-9a21-a30f9204848e">OK</Comments>
    <_dlc_DocIdUrl xmlns="71c5aaf6-e6ce-465b-b873-5148d2a4c105">
      <Url>https://nokia.sharepoint.com/sites/gxp/_layouts/15/DocIdRedir.aspx?ID=RBI5PAMIO524-1616901215-55941</Url>
      <Description>RBI5PAMIO524-1616901215-55941</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850A24-15A2-49EE-BA1A-6ED3DB671D7F}">
  <ds:schemaRefs>
    <ds:schemaRef ds:uri="http://schemas.microsoft.com/sharepoint/v3/contenttype/forms"/>
  </ds:schemaRefs>
</ds:datastoreItem>
</file>

<file path=customXml/itemProps2.xml><?xml version="1.0" encoding="utf-8"?>
<ds:datastoreItem xmlns:ds="http://schemas.openxmlformats.org/officeDocument/2006/customXml" ds:itemID="{3807F41E-0957-4A34-A344-9B1C879C8C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C2D80B-BEBE-4782-984C-D019DFB4895C}">
  <ds:schemaRefs>
    <ds:schemaRef ds:uri="http://schemas.microsoft.com/sharepoint/events"/>
  </ds:schemaRefs>
</ds:datastoreItem>
</file>

<file path=customXml/itemProps4.xml><?xml version="1.0" encoding="utf-8"?>
<ds:datastoreItem xmlns:ds="http://schemas.openxmlformats.org/officeDocument/2006/customXml" ds:itemID="{A666F96C-1DD0-4431-9B98-0EBDB9A454FE}">
  <ds:schemaRefs>
    <ds:schemaRef ds:uri="Microsoft.SharePoint.Taxonomy.ContentTypeSync"/>
  </ds:schemaRefs>
</ds:datastoreItem>
</file>

<file path=customXml/itemProps5.xml><?xml version="1.0" encoding="utf-8"?>
<ds:datastoreItem xmlns:ds="http://schemas.openxmlformats.org/officeDocument/2006/customXml" ds:itemID="{32DF60AB-976D-4A82-B4AA-8B04D159A648}">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92</TotalTime>
  <Pages>4</Pages>
  <Words>1430</Words>
  <Characters>8151</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9562</CharactersWithSpaces>
  <SharedDoc>false</SharedDoc>
  <HLinks>
    <vt:vector size="42" baseType="variant">
      <vt:variant>
        <vt:i4>1441844</vt:i4>
      </vt:variant>
      <vt:variant>
        <vt:i4>20</vt:i4>
      </vt:variant>
      <vt:variant>
        <vt:i4>0</vt:i4>
      </vt:variant>
      <vt:variant>
        <vt:i4>5</vt:i4>
      </vt:variant>
      <vt:variant>
        <vt:lpwstr/>
      </vt:variant>
      <vt:variant>
        <vt:lpwstr>_Toc210400640</vt:lpwstr>
      </vt:variant>
      <vt:variant>
        <vt:i4>1114164</vt:i4>
      </vt:variant>
      <vt:variant>
        <vt:i4>17</vt:i4>
      </vt:variant>
      <vt:variant>
        <vt:i4>0</vt:i4>
      </vt:variant>
      <vt:variant>
        <vt:i4>5</vt:i4>
      </vt:variant>
      <vt:variant>
        <vt:lpwstr/>
      </vt:variant>
      <vt:variant>
        <vt:lpwstr>_Toc210400639</vt:lpwstr>
      </vt:variant>
      <vt:variant>
        <vt:i4>1114164</vt:i4>
      </vt:variant>
      <vt:variant>
        <vt:i4>14</vt:i4>
      </vt:variant>
      <vt:variant>
        <vt:i4>0</vt:i4>
      </vt:variant>
      <vt:variant>
        <vt:i4>5</vt:i4>
      </vt:variant>
      <vt:variant>
        <vt:lpwstr/>
      </vt:variant>
      <vt:variant>
        <vt:lpwstr>_Toc210400638</vt:lpwstr>
      </vt:variant>
      <vt:variant>
        <vt:i4>1114164</vt:i4>
      </vt:variant>
      <vt:variant>
        <vt:i4>11</vt:i4>
      </vt:variant>
      <vt:variant>
        <vt:i4>0</vt:i4>
      </vt:variant>
      <vt:variant>
        <vt:i4>5</vt:i4>
      </vt:variant>
      <vt:variant>
        <vt:lpwstr/>
      </vt:variant>
      <vt:variant>
        <vt:lpwstr>_Toc210400637</vt:lpwstr>
      </vt:variant>
      <vt:variant>
        <vt:i4>1114164</vt:i4>
      </vt:variant>
      <vt:variant>
        <vt:i4>8</vt:i4>
      </vt:variant>
      <vt:variant>
        <vt:i4>0</vt:i4>
      </vt:variant>
      <vt:variant>
        <vt:i4>5</vt:i4>
      </vt:variant>
      <vt:variant>
        <vt:lpwstr/>
      </vt:variant>
      <vt:variant>
        <vt:lpwstr>_Toc210400636</vt:lpwstr>
      </vt:variant>
      <vt:variant>
        <vt:i4>1114164</vt:i4>
      </vt:variant>
      <vt:variant>
        <vt:i4>5</vt:i4>
      </vt:variant>
      <vt:variant>
        <vt:i4>0</vt:i4>
      </vt:variant>
      <vt:variant>
        <vt:i4>5</vt:i4>
      </vt:variant>
      <vt:variant>
        <vt:lpwstr/>
      </vt:variant>
      <vt:variant>
        <vt:lpwstr>_Toc210400635</vt:lpwstr>
      </vt:variant>
      <vt:variant>
        <vt:i4>1114164</vt:i4>
      </vt:variant>
      <vt:variant>
        <vt:i4>2</vt:i4>
      </vt:variant>
      <vt:variant>
        <vt:i4>0</vt:i4>
      </vt:variant>
      <vt:variant>
        <vt:i4>5</vt:i4>
      </vt:variant>
      <vt:variant>
        <vt:lpwstr/>
      </vt:variant>
      <vt:variant>
        <vt:lpwstr>_Toc210400634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Rafael Paiva (Nokia)</cp:lastModifiedBy>
  <cp:revision>79</cp:revision>
  <dcterms:created xsi:type="dcterms:W3CDTF">2025-09-03T19:57:00Z</dcterms:created>
  <dcterms:modified xsi:type="dcterms:W3CDTF">2025-10-03T16:40:00Z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29016dce-7010-43c4-9d4c-e95e920d4ef5</vt:lpwstr>
  </property>
</Properties>
</file>